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40"/>
        <w:gridCol w:w="7650"/>
      </w:tblGrid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 :</w:t>
            </w:r>
          </w:p>
        </w:tc>
        <w:tc>
          <w:tcPr>
            <w:tcW w:w="7650" w:type="dxa"/>
          </w:tcPr>
          <w:p w:rsidR="006404D0" w:rsidRDefault="000D3C9B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October 10, 2014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Carol Sinden, </w:t>
            </w:r>
            <w:r w:rsidR="009A6A37">
              <w:rPr>
                <w:sz w:val="21"/>
                <w:szCs w:val="21"/>
              </w:rPr>
              <w:t>Miranda Nichols</w:t>
            </w:r>
            <w:r>
              <w:rPr>
                <w:sz w:val="21"/>
                <w:szCs w:val="21"/>
              </w:rPr>
              <w:t>, and Douglas Hansen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 w:rsidRPr="00152268">
              <w:rPr>
                <w:sz w:val="21"/>
                <w:szCs w:val="21"/>
              </w:rPr>
              <w:t xml:space="preserve">Water Assessment </w:t>
            </w:r>
            <w:r>
              <w:rPr>
                <w:sz w:val="21"/>
                <w:szCs w:val="21"/>
              </w:rPr>
              <w:t>Section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Pam Anderson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Water Quality Monitoring</w:t>
            </w:r>
            <w:r w:rsidR="006404D0">
              <w:rPr>
                <w:sz w:val="21"/>
                <w:szCs w:val="21"/>
              </w:rPr>
              <w:t xml:space="preserve"> Unit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Surface </w:t>
            </w:r>
            <w:r w:rsidR="006404D0">
              <w:rPr>
                <w:sz w:val="21"/>
                <w:szCs w:val="21"/>
              </w:rPr>
              <w:t xml:space="preserve">Water Monitoring Section 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PHONE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(651) 757-2190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SUBJECT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Request to remove </w:t>
            </w:r>
            <w:r w:rsidR="000D3C9B">
              <w:rPr>
                <w:sz w:val="21"/>
                <w:szCs w:val="21"/>
                <w:u w:val="single"/>
              </w:rPr>
              <w:t>Redwood</w:t>
            </w:r>
            <w:r w:rsidR="009A6A37">
              <w:rPr>
                <w:sz w:val="21"/>
                <w:szCs w:val="21"/>
                <w:u w:val="single"/>
              </w:rPr>
              <w:t xml:space="preserve"> </w:t>
            </w:r>
            <w:r>
              <w:rPr>
                <w:sz w:val="21"/>
                <w:szCs w:val="21"/>
                <w:u w:val="single"/>
              </w:rPr>
              <w:t>Lake (</w:t>
            </w:r>
            <w:r w:rsidR="000D3C9B">
              <w:rPr>
                <w:sz w:val="21"/>
                <w:szCs w:val="21"/>
                <w:u w:val="single"/>
              </w:rPr>
              <w:t>64-0058-00</w:t>
            </w:r>
            <w:r>
              <w:rPr>
                <w:sz w:val="21"/>
                <w:szCs w:val="21"/>
                <w:u w:val="single"/>
              </w:rPr>
              <w:t>) from the 303(d) Impaired Waters list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</w:tbl>
    <w:p w:rsidR="006404D0" w:rsidRDefault="006404D0" w:rsidP="006404D0">
      <w:pPr>
        <w:pStyle w:val="Title"/>
        <w:jc w:val="left"/>
        <w:rPr>
          <w:b w:val="0"/>
          <w:sz w:val="21"/>
          <w:szCs w:val="21"/>
        </w:rPr>
      </w:pPr>
    </w:p>
    <w:p w:rsidR="006404D0" w:rsidRDefault="000D3C9B" w:rsidP="006404D0">
      <w:pPr>
        <w:rPr>
          <w:sz w:val="21"/>
          <w:szCs w:val="21"/>
        </w:rPr>
      </w:pPr>
      <w:r>
        <w:rPr>
          <w:sz w:val="21"/>
          <w:szCs w:val="21"/>
        </w:rPr>
        <w:t>Redwood</w:t>
      </w:r>
      <w:r w:rsidR="009A6A37">
        <w:rPr>
          <w:sz w:val="21"/>
          <w:szCs w:val="21"/>
        </w:rPr>
        <w:t xml:space="preserve"> Lake was listed in 200</w:t>
      </w:r>
      <w:r>
        <w:rPr>
          <w:sz w:val="21"/>
          <w:szCs w:val="21"/>
        </w:rPr>
        <w:t>8 as</w:t>
      </w:r>
      <w:r w:rsidR="009A6A37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impaired for </w:t>
      </w:r>
      <w:proofErr w:type="gramStart"/>
      <w:r>
        <w:rPr>
          <w:sz w:val="21"/>
          <w:szCs w:val="21"/>
        </w:rPr>
        <w:t>lake</w:t>
      </w:r>
      <w:r w:rsidR="009A6A37">
        <w:rPr>
          <w:sz w:val="21"/>
          <w:szCs w:val="21"/>
        </w:rPr>
        <w:t xml:space="preserve"> eutrophication</w:t>
      </w:r>
      <w:proofErr w:type="gramEnd"/>
      <w:r>
        <w:rPr>
          <w:sz w:val="21"/>
          <w:szCs w:val="21"/>
        </w:rPr>
        <w:t xml:space="preserve"> (aquatic recreation use)</w:t>
      </w:r>
      <w:r w:rsidR="009A6A37">
        <w:rPr>
          <w:sz w:val="21"/>
          <w:szCs w:val="21"/>
        </w:rPr>
        <w:t xml:space="preserve">.  At the time of the original assessment, </w:t>
      </w:r>
      <w:r>
        <w:rPr>
          <w:sz w:val="21"/>
          <w:szCs w:val="21"/>
        </w:rPr>
        <w:t>residence time was not considered during the assessment evaluation, but was noted in the review that residence time should be determined.</w:t>
      </w:r>
      <w:r w:rsidR="009A6A37">
        <w:rPr>
          <w:sz w:val="21"/>
          <w:szCs w:val="21"/>
        </w:rPr>
        <w:t xml:space="preserve">  During </w:t>
      </w:r>
      <w:r>
        <w:rPr>
          <w:sz w:val="21"/>
          <w:szCs w:val="21"/>
        </w:rPr>
        <w:t xml:space="preserve">analysis conducted as part of an effluent limit review, it was determined that with a volume of 125 acre-feet the residence time of the basin is 8.9 days.  </w:t>
      </w:r>
      <w:r>
        <w:t xml:space="preserve">In most circumstances </w:t>
      </w:r>
      <w:proofErr w:type="spellStart"/>
      <w:r w:rsidR="00802263">
        <w:t>waterbodies</w:t>
      </w:r>
      <w:proofErr w:type="spellEnd"/>
      <w:r w:rsidR="00802263">
        <w:t xml:space="preserve"> with assigned </w:t>
      </w:r>
      <w:bookmarkStart w:id="0" w:name="_GoBack"/>
      <w:bookmarkEnd w:id="0"/>
      <w:r w:rsidR="00802263">
        <w:t>Lake IDs</w:t>
      </w:r>
      <w:r>
        <w:t xml:space="preserve"> have sufficient residence time to be considered lakes as defined by State Rules (</w:t>
      </w:r>
      <w:proofErr w:type="spellStart"/>
      <w:r>
        <w:t>Minn.R</w:t>
      </w:r>
      <w:proofErr w:type="spellEnd"/>
      <w:r>
        <w:t xml:space="preserve">. 7053.0255 </w:t>
      </w:r>
      <w:proofErr w:type="spellStart"/>
      <w:r>
        <w:t>Subp</w:t>
      </w:r>
      <w:proofErr w:type="spellEnd"/>
      <w:r>
        <w:t xml:space="preserve">. </w:t>
      </w:r>
      <w:proofErr w:type="gramStart"/>
      <w:r>
        <w:t>2. G.).</w:t>
      </w:r>
      <w:proofErr w:type="gramEnd"/>
      <w:r>
        <w:t xml:space="preserve"> Given that this value is well below the 14 day criteria used for lake determination, it is reasonable to conclude that Lake Redwood is not a reservoir, but rather, an impounded reach of the Redwood River. This conclusion is also consistent with </w:t>
      </w:r>
      <w:r>
        <w:t xml:space="preserve">the original </w:t>
      </w:r>
      <w:r>
        <w:t xml:space="preserve">assessment documentation. </w:t>
      </w:r>
      <w:r w:rsidR="00802263">
        <w:t>I</w:t>
      </w:r>
      <w:r w:rsidR="009A6A37">
        <w:rPr>
          <w:sz w:val="21"/>
          <w:szCs w:val="21"/>
        </w:rPr>
        <w:t xml:space="preserve">t is recommended that </w:t>
      </w:r>
      <w:r>
        <w:rPr>
          <w:sz w:val="21"/>
          <w:szCs w:val="21"/>
        </w:rPr>
        <w:t>Redwood</w:t>
      </w:r>
      <w:r w:rsidR="009A6A37">
        <w:rPr>
          <w:sz w:val="21"/>
          <w:szCs w:val="21"/>
        </w:rPr>
        <w:t xml:space="preserve"> Lake be removed from the 2016 Impaired Waters List as a correction – the basin </w:t>
      </w:r>
      <w:r>
        <w:rPr>
          <w:sz w:val="21"/>
          <w:szCs w:val="21"/>
        </w:rPr>
        <w:t>does not have sufficient residence time to meet the definition of a lake.</w:t>
      </w:r>
    </w:p>
    <w:p w:rsidR="009A6A37" w:rsidRDefault="009A6A37" w:rsidP="006404D0">
      <w:pPr>
        <w:rPr>
          <w:sz w:val="21"/>
          <w:szCs w:val="21"/>
        </w:rPr>
      </w:pPr>
    </w:p>
    <w:p w:rsidR="009A6A37" w:rsidRDefault="009A6A37" w:rsidP="006404D0">
      <w:pPr>
        <w:rPr>
          <w:sz w:val="21"/>
          <w:szCs w:val="21"/>
        </w:rPr>
      </w:pPr>
    </w:p>
    <w:p w:rsidR="006404D0" w:rsidRDefault="006404D0" w:rsidP="006404D0">
      <w:pPr>
        <w:rPr>
          <w:sz w:val="21"/>
          <w:szCs w:val="21"/>
        </w:rPr>
      </w:pPr>
    </w:p>
    <w:p w:rsidR="00FC6336" w:rsidRDefault="00FC6336"/>
    <w:p w:rsidR="00FC6336" w:rsidRDefault="00FC6336"/>
    <w:p w:rsidR="00FF3AE9" w:rsidRDefault="00FF3AE9"/>
    <w:p w:rsidR="003E1F4D" w:rsidRDefault="003E1F4D"/>
    <w:sectPr w:rsidR="003E1F4D" w:rsidSect="0055715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E9"/>
    <w:rsid w:val="00043FBB"/>
    <w:rsid w:val="000D3C9B"/>
    <w:rsid w:val="000E3DD0"/>
    <w:rsid w:val="0019762A"/>
    <w:rsid w:val="001978F8"/>
    <w:rsid w:val="001D17E7"/>
    <w:rsid w:val="002A339F"/>
    <w:rsid w:val="00336B2F"/>
    <w:rsid w:val="003E1F4D"/>
    <w:rsid w:val="00490042"/>
    <w:rsid w:val="004F4CAE"/>
    <w:rsid w:val="00552C59"/>
    <w:rsid w:val="00557152"/>
    <w:rsid w:val="00567DF6"/>
    <w:rsid w:val="006015E8"/>
    <w:rsid w:val="00611E76"/>
    <w:rsid w:val="006404D0"/>
    <w:rsid w:val="007042AA"/>
    <w:rsid w:val="00802263"/>
    <w:rsid w:val="0086502C"/>
    <w:rsid w:val="009359DB"/>
    <w:rsid w:val="009A6A37"/>
    <w:rsid w:val="00A257D9"/>
    <w:rsid w:val="00A5736B"/>
    <w:rsid w:val="00BC19E5"/>
    <w:rsid w:val="00C20383"/>
    <w:rsid w:val="00DA2D19"/>
    <w:rsid w:val="00DC3CBF"/>
    <w:rsid w:val="00DE5811"/>
    <w:rsid w:val="00E533C3"/>
    <w:rsid w:val="00EA021C"/>
    <w:rsid w:val="00EF5B1A"/>
    <w:rsid w:val="00F56216"/>
    <w:rsid w:val="00FC6336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panders</dc:creator>
  <cp:lastModifiedBy>Anderson, Pam</cp:lastModifiedBy>
  <cp:revision>3</cp:revision>
  <dcterms:created xsi:type="dcterms:W3CDTF">2014-10-02T18:47:00Z</dcterms:created>
  <dcterms:modified xsi:type="dcterms:W3CDTF">2014-10-02T18:58:00Z</dcterms:modified>
</cp:coreProperties>
</file>