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40"/>
        <w:gridCol w:w="7650"/>
      </w:tblGrid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 :</w:t>
            </w:r>
          </w:p>
        </w:tc>
        <w:tc>
          <w:tcPr>
            <w:tcW w:w="7650" w:type="dxa"/>
          </w:tcPr>
          <w:p w:rsidR="004C1CEB" w:rsidRDefault="00917F36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October 10, 2014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:</w:t>
            </w:r>
          </w:p>
        </w:tc>
        <w:tc>
          <w:tcPr>
            <w:tcW w:w="7650" w:type="dxa"/>
          </w:tcPr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Carol Sinden, </w:t>
            </w:r>
            <w:r w:rsidR="00917F36">
              <w:rPr>
                <w:sz w:val="21"/>
                <w:szCs w:val="21"/>
              </w:rPr>
              <w:t>Miranda Nichols</w:t>
            </w:r>
            <w:r>
              <w:rPr>
                <w:sz w:val="21"/>
                <w:szCs w:val="21"/>
              </w:rPr>
              <w:t>, and Douglas Hansen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  <w:r w:rsidRPr="00152268">
              <w:rPr>
                <w:sz w:val="21"/>
                <w:szCs w:val="21"/>
              </w:rPr>
              <w:t xml:space="preserve">Water Assessment </w:t>
            </w:r>
            <w:r>
              <w:rPr>
                <w:sz w:val="21"/>
                <w:szCs w:val="21"/>
              </w:rPr>
              <w:t>Section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:</w:t>
            </w:r>
          </w:p>
        </w:tc>
        <w:tc>
          <w:tcPr>
            <w:tcW w:w="7650" w:type="dxa"/>
          </w:tcPr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Pam Anderson</w:t>
            </w:r>
          </w:p>
          <w:p w:rsidR="004C1CEB" w:rsidRDefault="00917F36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Water Quality Monitoring</w:t>
            </w:r>
            <w:r w:rsidR="004C1CEB">
              <w:rPr>
                <w:sz w:val="21"/>
                <w:szCs w:val="21"/>
              </w:rPr>
              <w:t xml:space="preserve"> Unit</w:t>
            </w:r>
          </w:p>
          <w:p w:rsidR="004C1CEB" w:rsidRDefault="00917F36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Surface </w:t>
            </w:r>
            <w:r w:rsidR="004C1CEB">
              <w:rPr>
                <w:sz w:val="21"/>
                <w:szCs w:val="21"/>
              </w:rPr>
              <w:t xml:space="preserve">Water Monitoring Section 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PHONE :</w:t>
            </w:r>
          </w:p>
        </w:tc>
        <w:tc>
          <w:tcPr>
            <w:tcW w:w="7650" w:type="dxa"/>
          </w:tcPr>
          <w:p w:rsidR="004C1CEB" w:rsidRDefault="004C1CEB" w:rsidP="004C1CEB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(651) 757-2190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  <w:tr w:rsidR="004C1CEB" w:rsidTr="004C1CEB">
        <w:trPr>
          <w:cantSplit/>
        </w:trPr>
        <w:tc>
          <w:tcPr>
            <w:tcW w:w="1440" w:type="dxa"/>
            <w:hideMark/>
          </w:tcPr>
          <w:p w:rsidR="004C1CEB" w:rsidRDefault="004C1CEB" w:rsidP="004C1CEB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SUBJECT :</w:t>
            </w:r>
          </w:p>
        </w:tc>
        <w:tc>
          <w:tcPr>
            <w:tcW w:w="7650" w:type="dxa"/>
          </w:tcPr>
          <w:p w:rsidR="004C1CEB" w:rsidRDefault="004C1CEB" w:rsidP="004C1CEB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Request to remove </w:t>
            </w:r>
            <w:r w:rsidR="00917F36">
              <w:rPr>
                <w:sz w:val="21"/>
                <w:szCs w:val="21"/>
                <w:u w:val="single"/>
              </w:rPr>
              <w:t>Red Rock</w:t>
            </w:r>
            <w:r w:rsidR="00257265">
              <w:rPr>
                <w:sz w:val="21"/>
                <w:szCs w:val="21"/>
                <w:u w:val="single"/>
              </w:rPr>
              <w:t xml:space="preserve"> Lake (</w:t>
            </w:r>
            <w:r w:rsidR="00314061">
              <w:rPr>
                <w:sz w:val="21"/>
                <w:szCs w:val="21"/>
                <w:u w:val="single"/>
              </w:rPr>
              <w:t>27-00</w:t>
            </w:r>
            <w:r w:rsidR="00917F36">
              <w:rPr>
                <w:sz w:val="21"/>
                <w:szCs w:val="21"/>
                <w:u w:val="single"/>
              </w:rPr>
              <w:t>76</w:t>
            </w:r>
            <w:r w:rsidR="00314061">
              <w:rPr>
                <w:sz w:val="21"/>
                <w:szCs w:val="21"/>
                <w:u w:val="single"/>
              </w:rPr>
              <w:t>-00</w:t>
            </w:r>
            <w:r w:rsidR="00257265">
              <w:rPr>
                <w:sz w:val="21"/>
                <w:szCs w:val="21"/>
                <w:u w:val="single"/>
              </w:rPr>
              <w:t>)</w:t>
            </w:r>
            <w:r>
              <w:rPr>
                <w:sz w:val="21"/>
                <w:szCs w:val="21"/>
                <w:u w:val="single"/>
              </w:rPr>
              <w:t xml:space="preserve"> from the 303(d) Impaired Waters list</w:t>
            </w:r>
          </w:p>
          <w:p w:rsidR="004C1CEB" w:rsidRDefault="004C1CEB" w:rsidP="004C1CEB">
            <w:pPr>
              <w:rPr>
                <w:sz w:val="21"/>
                <w:szCs w:val="21"/>
              </w:rPr>
            </w:pPr>
          </w:p>
        </w:tc>
      </w:tr>
    </w:tbl>
    <w:p w:rsidR="004C1CEB" w:rsidRDefault="004C1CEB" w:rsidP="004C1CEB">
      <w:pPr>
        <w:pStyle w:val="Title"/>
        <w:jc w:val="left"/>
        <w:rPr>
          <w:b w:val="0"/>
          <w:sz w:val="21"/>
          <w:szCs w:val="21"/>
        </w:rPr>
      </w:pPr>
    </w:p>
    <w:p w:rsidR="00A84B12" w:rsidRDefault="00917F36" w:rsidP="004C1CEB">
      <w:pPr>
        <w:rPr>
          <w:sz w:val="21"/>
          <w:szCs w:val="21"/>
        </w:rPr>
      </w:pPr>
      <w:r>
        <w:rPr>
          <w:sz w:val="21"/>
          <w:szCs w:val="21"/>
        </w:rPr>
        <w:t xml:space="preserve">In 2013 a request was made by the Riley-Purgatory-Bluff Creek Watershed District to have Red Rock Lake be removed from the 303(d) Impaired Waters List as the basin was now meeting standards.  </w:t>
      </w:r>
      <w:r w:rsidR="00E81674">
        <w:rPr>
          <w:sz w:val="21"/>
          <w:szCs w:val="21"/>
        </w:rPr>
        <w:t>The basin was originally listed in 200</w:t>
      </w:r>
      <w:r w:rsidR="00F6251E">
        <w:rPr>
          <w:sz w:val="21"/>
          <w:szCs w:val="21"/>
        </w:rPr>
        <w:t>2</w:t>
      </w:r>
      <w:r w:rsidR="00E81674">
        <w:rPr>
          <w:sz w:val="21"/>
          <w:szCs w:val="21"/>
        </w:rPr>
        <w:t xml:space="preserve">.  </w:t>
      </w:r>
    </w:p>
    <w:p w:rsidR="00917F36" w:rsidRDefault="00917F36" w:rsidP="004C1CEB">
      <w:pPr>
        <w:rPr>
          <w:sz w:val="21"/>
          <w:szCs w:val="21"/>
        </w:rPr>
      </w:pPr>
    </w:p>
    <w:p w:rsidR="00917F36" w:rsidRDefault="00917F36" w:rsidP="004C1CEB">
      <w:pPr>
        <w:rPr>
          <w:sz w:val="21"/>
          <w:szCs w:val="21"/>
        </w:rPr>
      </w:pPr>
    </w:p>
    <w:p w:rsidR="00E81674" w:rsidRDefault="004C1CEB" w:rsidP="004C1CEB">
      <w:pPr>
        <w:pStyle w:val="Title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The original listing data (Table 1) indicated </w:t>
      </w:r>
      <w:r w:rsidR="00E81674">
        <w:rPr>
          <w:b w:val="0"/>
          <w:sz w:val="21"/>
          <w:szCs w:val="21"/>
        </w:rPr>
        <w:t xml:space="preserve">total phosphorus, </w:t>
      </w:r>
      <w:r w:rsidR="00374D86">
        <w:rPr>
          <w:b w:val="0"/>
          <w:sz w:val="21"/>
          <w:szCs w:val="21"/>
        </w:rPr>
        <w:t>chlorophyll-a</w:t>
      </w:r>
      <w:r w:rsidR="00E81674">
        <w:rPr>
          <w:b w:val="0"/>
          <w:sz w:val="21"/>
          <w:szCs w:val="21"/>
        </w:rPr>
        <w:t>, and Secchi</w:t>
      </w:r>
      <w:r w:rsidR="00374D86">
        <w:rPr>
          <w:b w:val="0"/>
          <w:sz w:val="21"/>
          <w:szCs w:val="21"/>
        </w:rPr>
        <w:t xml:space="preserve"> exceeding the </w:t>
      </w:r>
      <w:r w:rsidR="00917F36">
        <w:rPr>
          <w:b w:val="0"/>
          <w:sz w:val="21"/>
          <w:szCs w:val="21"/>
        </w:rPr>
        <w:t>trophic state thresholds; expectations for the lake changed when the lake eutrophication standards were promulgated in 2008, applying the shallow lake eutrophication standard in lieu of the previous thresholds</w:t>
      </w:r>
      <w:r w:rsidR="00E81674">
        <w:rPr>
          <w:b w:val="0"/>
          <w:sz w:val="21"/>
          <w:szCs w:val="21"/>
        </w:rPr>
        <w:t>.</w:t>
      </w:r>
    </w:p>
    <w:p w:rsidR="00257265" w:rsidRDefault="00E81674" w:rsidP="004C1CEB">
      <w:pPr>
        <w:pStyle w:val="Title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 </w:t>
      </w:r>
    </w:p>
    <w:p w:rsidR="004C1CEB" w:rsidRPr="00490042" w:rsidRDefault="004C1CEB" w:rsidP="004C1CEB">
      <w:pPr>
        <w:jc w:val="center"/>
        <w:rPr>
          <w:rFonts w:asciiTheme="minorHAnsi" w:hAnsiTheme="minorHAnsi"/>
          <w:b/>
          <w:sz w:val="18"/>
          <w:szCs w:val="18"/>
        </w:rPr>
      </w:pPr>
      <w:proofErr w:type="gramStart"/>
      <w:r w:rsidRPr="00490042">
        <w:rPr>
          <w:rFonts w:asciiTheme="minorHAnsi" w:hAnsiTheme="minorHAnsi"/>
          <w:b/>
          <w:sz w:val="18"/>
          <w:szCs w:val="18"/>
        </w:rPr>
        <w:t>Table 1.</w:t>
      </w:r>
      <w:proofErr w:type="gramEnd"/>
      <w:r w:rsidRPr="00490042">
        <w:rPr>
          <w:rFonts w:asciiTheme="minorHAnsi" w:hAnsiTheme="minorHAnsi"/>
          <w:b/>
          <w:sz w:val="18"/>
          <w:szCs w:val="18"/>
        </w:rPr>
        <w:t xml:space="preserve">  Lake </w:t>
      </w:r>
      <w:proofErr w:type="gramStart"/>
      <w:r w:rsidRPr="00490042">
        <w:rPr>
          <w:rFonts w:asciiTheme="minorHAnsi" w:hAnsiTheme="minorHAnsi"/>
          <w:b/>
          <w:sz w:val="18"/>
          <w:szCs w:val="18"/>
        </w:rPr>
        <w:t>eutrophication</w:t>
      </w:r>
      <w:proofErr w:type="gramEnd"/>
      <w:r w:rsidRPr="00490042">
        <w:rPr>
          <w:rFonts w:asciiTheme="minorHAnsi" w:hAnsiTheme="minorHAnsi"/>
          <w:b/>
          <w:sz w:val="18"/>
          <w:szCs w:val="18"/>
        </w:rPr>
        <w:t xml:space="preserve"> standards</w:t>
      </w:r>
    </w:p>
    <w:p w:rsidR="004C1CEB" w:rsidRDefault="004C1CEB" w:rsidP="004C1CEB"/>
    <w:tbl>
      <w:tblPr>
        <w:tblStyle w:val="TableGrid2"/>
        <w:tblpPr w:leftFromText="187" w:rightFromText="187" w:vertAnchor="text" w:horzAnchor="margin" w:tblpXSpec="center" w:tblpY="18"/>
        <w:tblOverlap w:val="never"/>
        <w:tblW w:w="7848" w:type="dxa"/>
        <w:tblLayout w:type="fixed"/>
        <w:tblLook w:val="00A0" w:firstRow="1" w:lastRow="0" w:firstColumn="1" w:lastColumn="0" w:noHBand="0" w:noVBand="0"/>
      </w:tblPr>
      <w:tblGrid>
        <w:gridCol w:w="4428"/>
        <w:gridCol w:w="1080"/>
        <w:gridCol w:w="1080"/>
        <w:gridCol w:w="1260"/>
      </w:tblGrid>
      <w:tr w:rsidR="001F6AB2" w:rsidTr="001F6A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Merge w:val="restart"/>
            <w:tcBorders>
              <w:top w:val="nil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vAlign w:val="center"/>
            <w:hideMark/>
          </w:tcPr>
          <w:p w:rsidR="001F6AB2" w:rsidRPr="00490042" w:rsidRDefault="001F6AB2" w:rsidP="001F6AB2">
            <w:pPr>
              <w:jc w:val="center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Ecoregion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3F3F3"/>
            <w:hideMark/>
          </w:tcPr>
          <w:p w:rsidR="001F6AB2" w:rsidRPr="00490042" w:rsidRDefault="001F6AB2" w:rsidP="001F6A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TP</w:t>
            </w:r>
          </w:p>
        </w:tc>
        <w:tc>
          <w:tcPr>
            <w:tcW w:w="1080" w:type="dxa"/>
            <w:tcBorders>
              <w:top w:val="nil"/>
              <w:left w:val="single" w:sz="6" w:space="0" w:color="000000"/>
              <w:bottom w:val="single" w:sz="2" w:space="0" w:color="auto"/>
              <w:right w:val="single" w:sz="6" w:space="0" w:color="000000"/>
            </w:tcBorders>
            <w:shd w:val="clear" w:color="auto" w:fill="F3F3F3"/>
            <w:hideMark/>
          </w:tcPr>
          <w:p w:rsidR="001F6AB2" w:rsidRPr="00490042" w:rsidRDefault="001F6AB2" w:rsidP="001F6A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Chl-a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2" w:space="0" w:color="auto"/>
              <w:right w:val="nil"/>
            </w:tcBorders>
            <w:shd w:val="clear" w:color="auto" w:fill="F3F3F3"/>
            <w:hideMark/>
          </w:tcPr>
          <w:p w:rsidR="001F6AB2" w:rsidRPr="00490042" w:rsidRDefault="001F6AB2" w:rsidP="001F6AB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sz w:val="18"/>
                <w:szCs w:val="18"/>
              </w:rPr>
              <w:t>Secchi</w:t>
            </w:r>
          </w:p>
        </w:tc>
      </w:tr>
      <w:tr w:rsidR="001F6AB2" w:rsidTr="001F6A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Merge/>
            <w:tcBorders>
              <w:top w:val="nil"/>
              <w:left w:val="nil"/>
              <w:bottom w:val="single" w:sz="12" w:space="0" w:color="auto"/>
              <w:right w:val="single" w:sz="6" w:space="0" w:color="000000"/>
            </w:tcBorders>
            <w:vAlign w:val="center"/>
            <w:hideMark/>
          </w:tcPr>
          <w:p w:rsidR="001F6AB2" w:rsidRPr="00490042" w:rsidRDefault="001F6AB2" w:rsidP="001F6AB2">
            <w:pPr>
              <w:rPr>
                <w:rFonts w:asciiTheme="minorHAnsi" w:eastAsia="SimSun" w:hAnsiTheme="minorHAnsi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1F6AB2" w:rsidRPr="00490042" w:rsidRDefault="001F6AB2" w:rsidP="001F6AB2">
            <w:pPr>
              <w:pStyle w:val="Header"/>
              <w:spacing w:line="2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µg/L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1F6AB2" w:rsidRPr="00490042" w:rsidRDefault="001F6AB2" w:rsidP="001F6AB2">
            <w:pPr>
              <w:pStyle w:val="Header"/>
              <w:spacing w:line="2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µg/L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6" w:space="0" w:color="000000"/>
              <w:bottom w:val="single" w:sz="12" w:space="0" w:color="auto"/>
              <w:right w:val="nil"/>
            </w:tcBorders>
            <w:shd w:val="clear" w:color="auto" w:fill="F3F3F3"/>
            <w:hideMark/>
          </w:tcPr>
          <w:p w:rsidR="001F6AB2" w:rsidRPr="00490042" w:rsidRDefault="001F6AB2" w:rsidP="001F6AB2">
            <w:pPr>
              <w:pStyle w:val="Header"/>
              <w:spacing w:line="22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meters</w:t>
            </w:r>
          </w:p>
        </w:tc>
      </w:tr>
      <w:tr w:rsidR="00D22742" w:rsidTr="00E663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6" w:space="0" w:color="000000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D22742" w:rsidRPr="00490042" w:rsidRDefault="00D22742" w:rsidP="00D22742">
            <w:pPr>
              <w:pStyle w:val="Header"/>
              <w:spacing w:line="200" w:lineRule="exac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NCHF – Trophic State Thresholds for impairment (pre-2010 cycle)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D22742" w:rsidRPr="00490042" w:rsidRDefault="00D22742" w:rsidP="00D2274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&lt; 45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D22742" w:rsidRPr="00490042" w:rsidRDefault="00D22742" w:rsidP="00D2274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&lt; 18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nil"/>
            </w:tcBorders>
            <w:vAlign w:val="bottom"/>
            <w:hideMark/>
          </w:tcPr>
          <w:p w:rsidR="00D22742" w:rsidRPr="00490042" w:rsidRDefault="00D22742" w:rsidP="00D2274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&gt; 1.1</w:t>
            </w:r>
          </w:p>
        </w:tc>
      </w:tr>
      <w:tr w:rsidR="001F6AB2" w:rsidTr="001F6AB2">
        <w:trPr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6" w:space="0" w:color="000000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1F6AB2" w:rsidRPr="00490042" w:rsidRDefault="001F6AB2" w:rsidP="00884FE5">
            <w:pPr>
              <w:pStyle w:val="Header"/>
              <w:spacing w:line="200" w:lineRule="exact"/>
              <w:rPr>
                <w:rFonts w:asciiTheme="minorHAnsi" w:eastAsia="SimSun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 w:val="0"/>
                <w:sz w:val="18"/>
                <w:szCs w:val="18"/>
              </w:rPr>
              <w:t>NCHF – Aquatic Rec. Use (Class 2B)</w:t>
            </w:r>
            <w:r>
              <w:rPr>
                <w:rFonts w:asciiTheme="minorHAnsi" w:hAnsiTheme="minorHAnsi" w:cs="Arial"/>
                <w:bCs w:val="0"/>
                <w:sz w:val="18"/>
                <w:szCs w:val="18"/>
              </w:rPr>
              <w:t xml:space="preserve"> </w:t>
            </w:r>
            <w:r w:rsidR="00D22742">
              <w:rPr>
                <w:rFonts w:asciiTheme="minorHAnsi" w:hAnsiTheme="minorHAnsi" w:cs="Arial"/>
                <w:bCs w:val="0"/>
                <w:sz w:val="18"/>
                <w:szCs w:val="18"/>
              </w:rPr>
              <w:t>Shallow Lakes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1F6AB2" w:rsidRPr="00490042" w:rsidRDefault="001F6AB2" w:rsidP="00D2274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/>
                <w:sz w:val="18"/>
                <w:szCs w:val="18"/>
              </w:rPr>
              <w:t xml:space="preserve">&lt; </w:t>
            </w:r>
            <w:r w:rsidR="00D22742">
              <w:rPr>
                <w:rFonts w:asciiTheme="minorHAnsi" w:hAnsiTheme="minorHAnsi" w:cs="Arial"/>
                <w:bCs/>
                <w:sz w:val="18"/>
                <w:szCs w:val="18"/>
              </w:rPr>
              <w:t>60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1F6AB2" w:rsidRPr="00490042" w:rsidRDefault="001F6AB2" w:rsidP="00884FE5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/>
                <w:sz w:val="18"/>
                <w:szCs w:val="18"/>
              </w:rPr>
              <w:t xml:space="preserve">&lt; </w:t>
            </w:r>
            <w:r w:rsidR="00D22742">
              <w:rPr>
                <w:rFonts w:asciiTheme="minorHAnsi" w:hAnsiTheme="minorHAnsi" w:cs="Arial"/>
                <w:bCs/>
                <w:sz w:val="18"/>
                <w:szCs w:val="18"/>
              </w:rPr>
              <w:t>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12" w:space="0" w:color="auto"/>
              <w:right w:val="nil"/>
            </w:tcBorders>
            <w:vAlign w:val="bottom"/>
            <w:hideMark/>
          </w:tcPr>
          <w:p w:rsidR="001F6AB2" w:rsidRPr="00490042" w:rsidRDefault="001F6AB2" w:rsidP="00D2274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 w:rsidRPr="00490042">
              <w:rPr>
                <w:rFonts w:asciiTheme="minorHAnsi" w:hAnsiTheme="minorHAnsi" w:cs="Arial"/>
                <w:bCs/>
                <w:sz w:val="18"/>
                <w:szCs w:val="18"/>
              </w:rPr>
              <w:t xml:space="preserve">&gt; 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>1.</w:t>
            </w:r>
            <w:r w:rsidR="00D22742">
              <w:rPr>
                <w:rFonts w:asciiTheme="minorHAnsi" w:hAnsiTheme="minorHAnsi" w:cs="Arial"/>
                <w:bCs/>
                <w:sz w:val="18"/>
                <w:szCs w:val="18"/>
              </w:rPr>
              <w:t>0</w:t>
            </w:r>
          </w:p>
        </w:tc>
      </w:tr>
      <w:tr w:rsidR="001F6AB2" w:rsidTr="00A84B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1F6AB2" w:rsidRPr="00490042" w:rsidRDefault="00E81674" w:rsidP="00D22742">
            <w:pPr>
              <w:rPr>
                <w:rFonts w:asciiTheme="minorHAnsi" w:eastAsia="SimSun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Cs w:val="0"/>
                <w:sz w:val="18"/>
                <w:szCs w:val="18"/>
              </w:rPr>
              <w:t>199</w:t>
            </w:r>
            <w:r w:rsidR="00A84B12">
              <w:rPr>
                <w:rFonts w:asciiTheme="minorHAnsi" w:hAnsiTheme="minorHAnsi" w:cs="Arial"/>
                <w:bCs w:val="0"/>
                <w:sz w:val="18"/>
                <w:szCs w:val="18"/>
              </w:rPr>
              <w:t>1</w:t>
            </w:r>
            <w:r>
              <w:rPr>
                <w:rFonts w:asciiTheme="minorHAnsi" w:hAnsiTheme="minorHAnsi" w:cs="Arial"/>
                <w:bCs w:val="0"/>
                <w:sz w:val="18"/>
                <w:szCs w:val="18"/>
              </w:rPr>
              <w:t>-200</w:t>
            </w:r>
            <w:r w:rsidR="00A84B12">
              <w:rPr>
                <w:rFonts w:asciiTheme="minorHAnsi" w:hAnsiTheme="minorHAnsi" w:cs="Arial"/>
                <w:bCs w:val="0"/>
                <w:sz w:val="18"/>
                <w:szCs w:val="18"/>
              </w:rPr>
              <w:t>0</w:t>
            </w:r>
            <w:r w:rsidR="001F6AB2" w:rsidRPr="00490042">
              <w:rPr>
                <w:rFonts w:asciiTheme="minorHAnsi" w:hAnsiTheme="minorHAnsi" w:cs="Arial"/>
                <w:bCs w:val="0"/>
                <w:sz w:val="18"/>
                <w:szCs w:val="18"/>
              </w:rPr>
              <w:t xml:space="preserve"> </w:t>
            </w:r>
            <w:r w:rsidR="00D22742">
              <w:rPr>
                <w:rFonts w:asciiTheme="minorHAnsi" w:hAnsiTheme="minorHAnsi" w:cs="Arial"/>
                <w:bCs w:val="0"/>
                <w:sz w:val="18"/>
                <w:szCs w:val="18"/>
              </w:rPr>
              <w:t>Red Rock</w:t>
            </w:r>
            <w:r w:rsidR="00CB7151">
              <w:rPr>
                <w:rFonts w:asciiTheme="minorHAnsi" w:hAnsiTheme="minorHAnsi" w:cs="Arial"/>
                <w:bCs w:val="0"/>
                <w:sz w:val="18"/>
                <w:szCs w:val="18"/>
              </w:rPr>
              <w:t xml:space="preserve"> Lake</w:t>
            </w:r>
            <w:r w:rsidR="001F6AB2" w:rsidRPr="00490042">
              <w:rPr>
                <w:rFonts w:asciiTheme="minorHAnsi" w:hAnsiTheme="minorHAnsi" w:cs="Arial"/>
                <w:bCs w:val="0"/>
                <w:sz w:val="18"/>
                <w:szCs w:val="18"/>
              </w:rPr>
              <w:t xml:space="preserve"> Data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1F6AB2" w:rsidRPr="00490042" w:rsidRDefault="00D22742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87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  <w:hideMark/>
          </w:tcPr>
          <w:p w:rsidR="001F6AB2" w:rsidRPr="00490042" w:rsidRDefault="00D22742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59.9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nil"/>
            </w:tcBorders>
            <w:vAlign w:val="bottom"/>
            <w:hideMark/>
          </w:tcPr>
          <w:p w:rsidR="001F6AB2" w:rsidRPr="00490042" w:rsidRDefault="00D22742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1.1</w:t>
            </w:r>
          </w:p>
        </w:tc>
      </w:tr>
      <w:tr w:rsidR="00A84B12" w:rsidTr="00AB305D">
        <w:trPr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000000"/>
            </w:tcBorders>
            <w:shd w:val="clear" w:color="auto" w:fill="F3F3F3"/>
            <w:hideMark/>
          </w:tcPr>
          <w:p w:rsidR="00A84B12" w:rsidRDefault="00A84B12" w:rsidP="00D22742">
            <w:pPr>
              <w:rPr>
                <w:rFonts w:asciiTheme="minorHAnsi" w:hAnsiTheme="minorHAnsi" w:cs="Arial"/>
                <w:bCs w:val="0"/>
                <w:sz w:val="18"/>
                <w:szCs w:val="18"/>
              </w:rPr>
            </w:pPr>
            <w:r>
              <w:rPr>
                <w:rFonts w:asciiTheme="minorHAnsi" w:hAnsiTheme="minorHAnsi" w:cs="Arial"/>
                <w:bCs w:val="0"/>
                <w:sz w:val="18"/>
                <w:szCs w:val="18"/>
              </w:rPr>
              <w:t>2002-201</w:t>
            </w:r>
            <w:r w:rsidR="00D22742">
              <w:rPr>
                <w:rFonts w:asciiTheme="minorHAnsi" w:hAnsiTheme="minorHAnsi" w:cs="Arial"/>
                <w:bCs w:val="0"/>
                <w:sz w:val="18"/>
                <w:szCs w:val="18"/>
              </w:rPr>
              <w:t>3</w:t>
            </w:r>
            <w:r>
              <w:rPr>
                <w:rFonts w:asciiTheme="minorHAnsi" w:hAnsiTheme="minorHAnsi" w:cs="Arial"/>
                <w:bCs w:val="0"/>
                <w:sz w:val="18"/>
                <w:szCs w:val="18"/>
              </w:rPr>
              <w:t xml:space="preserve"> </w:t>
            </w:r>
            <w:r w:rsidR="00D22742">
              <w:rPr>
                <w:rFonts w:asciiTheme="minorHAnsi" w:hAnsiTheme="minorHAnsi" w:cs="Arial"/>
                <w:bCs w:val="0"/>
                <w:sz w:val="18"/>
                <w:szCs w:val="18"/>
              </w:rPr>
              <w:t>Red Rock</w:t>
            </w:r>
            <w:r>
              <w:rPr>
                <w:rFonts w:asciiTheme="minorHAnsi" w:hAnsiTheme="minorHAnsi" w:cs="Arial"/>
                <w:bCs w:val="0"/>
                <w:sz w:val="18"/>
                <w:szCs w:val="18"/>
              </w:rPr>
              <w:t xml:space="preserve"> Lake Data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</w:tcPr>
          <w:p w:rsidR="00A84B12" w:rsidRDefault="00AB305D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59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000000"/>
            </w:tcBorders>
            <w:vAlign w:val="bottom"/>
          </w:tcPr>
          <w:p w:rsidR="00A84B12" w:rsidRDefault="00AB305D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24.2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nil"/>
            </w:tcBorders>
            <w:vAlign w:val="bottom"/>
          </w:tcPr>
          <w:p w:rsidR="00A84B12" w:rsidRDefault="00AB305D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1.5</w:t>
            </w:r>
          </w:p>
        </w:tc>
      </w:tr>
      <w:tr w:rsidR="00AB305D" w:rsidTr="00D22742">
        <w:trPr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12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AB305D" w:rsidRDefault="00AB305D" w:rsidP="00D22742">
            <w:pPr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2011-2013 Red Rock Lake Data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B305D" w:rsidRDefault="00AB305D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48.5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B305D" w:rsidRDefault="00AB305D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6.8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AB305D" w:rsidRDefault="00AB305D" w:rsidP="001F6AB2">
            <w:pPr>
              <w:pStyle w:val="Header"/>
              <w:spacing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Cs/>
                <w:sz w:val="18"/>
                <w:szCs w:val="18"/>
              </w:rPr>
              <w:t>2.1</w:t>
            </w:r>
          </w:p>
        </w:tc>
      </w:tr>
    </w:tbl>
    <w:p w:rsidR="004C1CEB" w:rsidRDefault="004C1CEB" w:rsidP="004C1CEB"/>
    <w:p w:rsidR="004C1CEB" w:rsidRDefault="004C1CEB" w:rsidP="004C1CEB"/>
    <w:p w:rsidR="004C1CEB" w:rsidRDefault="004C1CEB" w:rsidP="004C1CEB"/>
    <w:p w:rsidR="004C1CEB" w:rsidRDefault="004C1CEB" w:rsidP="004C1CEB"/>
    <w:p w:rsidR="004C1CEB" w:rsidRDefault="004C1CEB" w:rsidP="004C1CEB"/>
    <w:p w:rsidR="004C1CEB" w:rsidRDefault="004C1CEB" w:rsidP="004C1CEB"/>
    <w:p w:rsidR="004C1CEB" w:rsidRDefault="004C1CEB" w:rsidP="004C1CEB"/>
    <w:p w:rsidR="00A84B12" w:rsidRDefault="00A84B12" w:rsidP="004C1CEB"/>
    <w:p w:rsidR="00AB305D" w:rsidRDefault="00AB305D" w:rsidP="004C1CEB"/>
    <w:p w:rsidR="00A84B12" w:rsidRDefault="00A84B12" w:rsidP="004C1CEB">
      <w:r>
        <w:t>Recent data (Table 1) shows significantly reduced phosphorus and chlorophyll-a concentrations and imp</w:t>
      </w:r>
      <w:r w:rsidR="00884FE5">
        <w:t xml:space="preserve">roved transparency.  While </w:t>
      </w:r>
      <w:r w:rsidR="00AB305D">
        <w:t>chlorophyll-</w:t>
      </w:r>
      <w:proofErr w:type="gramStart"/>
      <w:r w:rsidR="00AB305D">
        <w:t>a</w:t>
      </w:r>
      <w:proofErr w:type="gramEnd"/>
      <w:r w:rsidR="00AB305D">
        <w:t xml:space="preserve"> over the most recent 10 years</w:t>
      </w:r>
      <w:r w:rsidR="00884FE5">
        <w:t xml:space="preserve"> </w:t>
      </w:r>
      <w:r w:rsidR="00AB305D">
        <w:t>still exceeds the threshold, phosphorus is just below the threshold</w:t>
      </w:r>
      <w:r w:rsidR="00884FE5">
        <w:t xml:space="preserve">, Secchi </w:t>
      </w:r>
      <w:r w:rsidR="00AB305D">
        <w:t>is</w:t>
      </w:r>
      <w:r w:rsidR="00884FE5">
        <w:t xml:space="preserve"> well </w:t>
      </w:r>
      <w:r w:rsidR="00AB305D">
        <w:t>below the</w:t>
      </w:r>
      <w:r w:rsidR="00884FE5">
        <w:t xml:space="preserve"> threshold and </w:t>
      </w:r>
      <w:r>
        <w:t>the lake meets the delisting guidance and the lake eutrophication standard.</w:t>
      </w:r>
      <w:r w:rsidR="00AB305D">
        <w:t xml:space="preserve">  In addition, the most recent 3 years of data show considerable decline in phosphorus and chlorophyll-a concentrations.</w:t>
      </w:r>
    </w:p>
    <w:p w:rsidR="00892C28" w:rsidRDefault="00892C28" w:rsidP="004C1CEB">
      <w:bookmarkStart w:id="0" w:name="_GoBack"/>
      <w:bookmarkEnd w:id="0"/>
    </w:p>
    <w:p w:rsidR="00892C28" w:rsidRDefault="00AB305D" w:rsidP="004C1CEB">
      <w:r>
        <w:t>As noted in the Technical Memorandum (Barr 2013), r</w:t>
      </w:r>
      <w:r w:rsidR="00892C28">
        <w:t xml:space="preserve">estoration </w:t>
      </w:r>
      <w:r>
        <w:t xml:space="preserve">and planning </w:t>
      </w:r>
      <w:r w:rsidR="00892C28">
        <w:t xml:space="preserve">activities are underway in the watershed.  </w:t>
      </w:r>
      <w:r>
        <w:t xml:space="preserve">These include the addition of stormwater ponds, more restrictive management of stormwater draining to the lake, and dredging sediment and </w:t>
      </w:r>
      <w:proofErr w:type="spellStart"/>
      <w:r>
        <w:t>curlyleaf</w:t>
      </w:r>
      <w:proofErr w:type="spellEnd"/>
      <w:r>
        <w:t xml:space="preserve"> pondweed removal.  A management plan suggested alum treatments; it is unclear at this time if those treatments have been implemented.  As a result of the improved conditions in Red Rock Lake, it is recommended that the lake be removed as a delisting from the draft 2016 Impaired Waters List.</w:t>
      </w:r>
    </w:p>
    <w:sectPr w:rsidR="00892C28" w:rsidSect="0055715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EC4"/>
    <w:multiLevelType w:val="hybridMultilevel"/>
    <w:tmpl w:val="822EB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055C1E"/>
    <w:multiLevelType w:val="hybridMultilevel"/>
    <w:tmpl w:val="6FD0F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E9"/>
    <w:rsid w:val="00043FBB"/>
    <w:rsid w:val="000740E1"/>
    <w:rsid w:val="000E3DD0"/>
    <w:rsid w:val="001978F8"/>
    <w:rsid w:val="001D17E7"/>
    <w:rsid w:val="001F6AB2"/>
    <w:rsid w:val="00211860"/>
    <w:rsid w:val="00257265"/>
    <w:rsid w:val="002C67C8"/>
    <w:rsid w:val="00303507"/>
    <w:rsid w:val="00314061"/>
    <w:rsid w:val="0036072B"/>
    <w:rsid w:val="00374D86"/>
    <w:rsid w:val="003A68D9"/>
    <w:rsid w:val="003E1F4D"/>
    <w:rsid w:val="004C1CEB"/>
    <w:rsid w:val="004F4CAE"/>
    <w:rsid w:val="00552C59"/>
    <w:rsid w:val="00557152"/>
    <w:rsid w:val="00567DF6"/>
    <w:rsid w:val="005D6EF7"/>
    <w:rsid w:val="006015E8"/>
    <w:rsid w:val="00611E76"/>
    <w:rsid w:val="00621C0F"/>
    <w:rsid w:val="007042AA"/>
    <w:rsid w:val="00766A24"/>
    <w:rsid w:val="00834CFB"/>
    <w:rsid w:val="0086502C"/>
    <w:rsid w:val="00884FE5"/>
    <w:rsid w:val="00892C28"/>
    <w:rsid w:val="00917F36"/>
    <w:rsid w:val="009359DB"/>
    <w:rsid w:val="009A5336"/>
    <w:rsid w:val="009F1098"/>
    <w:rsid w:val="00A257D9"/>
    <w:rsid w:val="00A5736B"/>
    <w:rsid w:val="00A84B12"/>
    <w:rsid w:val="00AB305D"/>
    <w:rsid w:val="00AB5449"/>
    <w:rsid w:val="00BC19E5"/>
    <w:rsid w:val="00CB17CB"/>
    <w:rsid w:val="00CB7151"/>
    <w:rsid w:val="00D22742"/>
    <w:rsid w:val="00D43F39"/>
    <w:rsid w:val="00DC3CBF"/>
    <w:rsid w:val="00DE5811"/>
    <w:rsid w:val="00E533C3"/>
    <w:rsid w:val="00E81674"/>
    <w:rsid w:val="00EA021C"/>
    <w:rsid w:val="00EF07AA"/>
    <w:rsid w:val="00EF5B1A"/>
    <w:rsid w:val="00F234BD"/>
    <w:rsid w:val="00F25092"/>
    <w:rsid w:val="00F6251E"/>
    <w:rsid w:val="00F911A6"/>
    <w:rsid w:val="00FC1ED5"/>
    <w:rsid w:val="00FC6336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CEB"/>
    <w:pPr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nhideWhenUsed/>
    <w:rsid w:val="004C1CEB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C1CEB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4C1CEB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4C1CEB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C1CEB"/>
    <w:rPr>
      <w:rFonts w:eastAsia="Times New Roman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AB54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6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CEB"/>
    <w:pPr>
      <w:ind w:left="720"/>
    </w:pPr>
    <w:rPr>
      <w:rFonts w:ascii="Calibri" w:hAnsi="Calibri" w:cs="Times New Roman"/>
    </w:rPr>
  </w:style>
  <w:style w:type="paragraph" w:styleId="Header">
    <w:name w:val="header"/>
    <w:basedOn w:val="Normal"/>
    <w:link w:val="HeaderChar"/>
    <w:unhideWhenUsed/>
    <w:rsid w:val="004C1CEB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4C1CEB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4C1CEB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4C1CEB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4C1CEB"/>
    <w:rPr>
      <w:rFonts w:eastAsia="Times New Roman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AB54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16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panders</dc:creator>
  <cp:lastModifiedBy>Anderson, Pam</cp:lastModifiedBy>
  <cp:revision>3</cp:revision>
  <dcterms:created xsi:type="dcterms:W3CDTF">2014-10-03T16:32:00Z</dcterms:created>
  <dcterms:modified xsi:type="dcterms:W3CDTF">2014-10-03T19:09:00Z</dcterms:modified>
</cp:coreProperties>
</file>