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F08" w:rsidRPr="00CA2ED1" w:rsidRDefault="00153F08" w:rsidP="00153F08">
      <w:pPr>
        <w:rPr>
          <w:sz w:val="22"/>
          <w:szCs w:val="22"/>
        </w:rPr>
      </w:pPr>
      <w:r>
        <w:rPr>
          <w:b/>
          <w:sz w:val="22"/>
          <w:szCs w:val="22"/>
        </w:rPr>
        <w:t>Correction</w:t>
      </w:r>
      <w:r w:rsidRPr="00340074">
        <w:rPr>
          <w:b/>
          <w:sz w:val="22"/>
          <w:szCs w:val="22"/>
        </w:rPr>
        <w:t xml:space="preserve"> Review Documentation</w:t>
      </w:r>
      <w:r>
        <w:rPr>
          <w:b/>
          <w:sz w:val="22"/>
          <w:szCs w:val="22"/>
        </w:rPr>
        <w:t xml:space="preserve">  </w:t>
      </w:r>
      <w:r w:rsidRPr="0010738E">
        <w:rPr>
          <w:b/>
          <w:sz w:val="22"/>
          <w:szCs w:val="22"/>
        </w:rPr>
        <w:tab/>
      </w:r>
      <w:r w:rsidRPr="0010738E">
        <w:rPr>
          <w:b/>
          <w:sz w:val="22"/>
          <w:szCs w:val="22"/>
        </w:rPr>
        <w:tab/>
      </w:r>
      <w:r w:rsidRPr="0010738E">
        <w:rPr>
          <w:b/>
          <w:sz w:val="22"/>
          <w:szCs w:val="22"/>
        </w:rPr>
        <w:tab/>
      </w:r>
      <w:r w:rsidRPr="0010738E">
        <w:rPr>
          <w:b/>
          <w:sz w:val="22"/>
          <w:szCs w:val="22"/>
        </w:rPr>
        <w:tab/>
      </w:r>
      <w:r w:rsidRPr="0010738E">
        <w:rPr>
          <w:b/>
          <w:sz w:val="22"/>
          <w:szCs w:val="22"/>
        </w:rPr>
        <w:tab/>
      </w:r>
      <w:r>
        <w:rPr>
          <w:b/>
          <w:sz w:val="22"/>
          <w:szCs w:val="22"/>
        </w:rPr>
        <w:tab/>
      </w:r>
      <w:r w:rsidRPr="0010738E">
        <w:rPr>
          <w:b/>
          <w:sz w:val="22"/>
          <w:szCs w:val="22"/>
        </w:rPr>
        <w:t xml:space="preserve">Date:  </w:t>
      </w:r>
      <w:r>
        <w:rPr>
          <w:b/>
          <w:sz w:val="22"/>
          <w:szCs w:val="22"/>
        </w:rPr>
        <w:t>12</w:t>
      </w:r>
      <w:r w:rsidRPr="0010738E">
        <w:rPr>
          <w:b/>
          <w:sz w:val="22"/>
          <w:szCs w:val="22"/>
        </w:rPr>
        <w:t>/</w:t>
      </w:r>
      <w:r>
        <w:rPr>
          <w:b/>
          <w:sz w:val="22"/>
          <w:szCs w:val="22"/>
        </w:rPr>
        <w:t>12</w:t>
      </w:r>
      <w:r w:rsidRPr="0010738E">
        <w:rPr>
          <w:b/>
          <w:sz w:val="22"/>
          <w:szCs w:val="22"/>
        </w:rPr>
        <w:t xml:space="preserve"> /</w:t>
      </w:r>
      <w:r>
        <w:rPr>
          <w:b/>
          <w:sz w:val="22"/>
          <w:szCs w:val="22"/>
        </w:rPr>
        <w:t>2014</w:t>
      </w:r>
    </w:p>
    <w:p w:rsidR="00153F08" w:rsidRDefault="00153F08" w:rsidP="00153F08">
      <w:pPr>
        <w:rPr>
          <w:b/>
          <w:sz w:val="22"/>
          <w:szCs w:val="22"/>
        </w:rPr>
      </w:pPr>
    </w:p>
    <w:p w:rsidR="00153F08" w:rsidRDefault="00153F08" w:rsidP="00153F08">
      <w:pPr>
        <w:rPr>
          <w:sz w:val="22"/>
          <w:szCs w:val="22"/>
        </w:rPr>
      </w:pPr>
      <w:r w:rsidRPr="00697914">
        <w:rPr>
          <w:b/>
        </w:rPr>
        <w:t>070</w:t>
      </w:r>
      <w:r>
        <w:rPr>
          <w:b/>
        </w:rPr>
        <w:t>10205-658</w:t>
      </w:r>
      <w:r w:rsidRPr="002F5CFC">
        <w:rPr>
          <w:sz w:val="22"/>
          <w:szCs w:val="22"/>
        </w:rPr>
        <w:t xml:space="preserve">   </w:t>
      </w:r>
      <w:r>
        <w:t>Crow River, South Fork</w:t>
      </w:r>
      <w:r>
        <w:t>; Unnamed Cr to Minnesota R</w:t>
      </w:r>
    </w:p>
    <w:p w:rsidR="00153F08" w:rsidRPr="007E03EF" w:rsidRDefault="00153F08" w:rsidP="00153F08">
      <w:r>
        <w:rPr>
          <w:sz w:val="22"/>
          <w:szCs w:val="22"/>
        </w:rPr>
        <w:t xml:space="preserve">  </w:t>
      </w:r>
    </w:p>
    <w:p w:rsidR="00153F08" w:rsidRPr="009E73EB" w:rsidRDefault="00153F08" w:rsidP="00153F08">
      <w:pPr>
        <w:rPr>
          <w:sz w:val="16"/>
          <w:szCs w:val="16"/>
        </w:rPr>
      </w:pPr>
    </w:p>
    <w:p w:rsidR="00153F08" w:rsidRPr="002F5CFC" w:rsidRDefault="00153F08" w:rsidP="00153F08">
      <w:pPr>
        <w:rPr>
          <w:sz w:val="22"/>
          <w:szCs w:val="22"/>
        </w:rPr>
      </w:pPr>
      <w:r w:rsidRPr="0083712D">
        <w:rPr>
          <w:b/>
          <w:sz w:val="22"/>
          <w:szCs w:val="22"/>
        </w:rPr>
        <w:t>Pollutant or stressor:</w:t>
      </w:r>
      <w:r w:rsidRPr="002F5CFC">
        <w:rPr>
          <w:sz w:val="22"/>
          <w:szCs w:val="22"/>
        </w:rPr>
        <w:t xml:space="preserve">  </w:t>
      </w:r>
      <w:r>
        <w:rPr>
          <w:sz w:val="22"/>
          <w:szCs w:val="22"/>
        </w:rPr>
        <w:t xml:space="preserve">Impaired Biota - </w:t>
      </w:r>
      <w:r w:rsidR="00BB1E40">
        <w:rPr>
          <w:sz w:val="22"/>
          <w:szCs w:val="22"/>
        </w:rPr>
        <w:t>Macroinvertebrates</w:t>
      </w:r>
    </w:p>
    <w:p w:rsidR="00153F08" w:rsidRPr="002F5CFC" w:rsidRDefault="00153F08" w:rsidP="00153F08">
      <w:pPr>
        <w:rPr>
          <w:sz w:val="22"/>
          <w:szCs w:val="22"/>
        </w:rPr>
      </w:pPr>
      <w:r w:rsidRPr="0083712D">
        <w:rPr>
          <w:b/>
          <w:sz w:val="22"/>
          <w:szCs w:val="22"/>
        </w:rPr>
        <w:t>First listed:</w:t>
      </w:r>
      <w:r>
        <w:rPr>
          <w:sz w:val="22"/>
          <w:szCs w:val="22"/>
        </w:rPr>
        <w:t xml:space="preserve">    2006</w:t>
      </w:r>
    </w:p>
    <w:p w:rsidR="00153F08" w:rsidRPr="00A71FB7" w:rsidRDefault="00153F08" w:rsidP="00153F08">
      <w:pPr>
        <w:rPr>
          <w:sz w:val="16"/>
          <w:szCs w:val="16"/>
        </w:rPr>
      </w:pPr>
    </w:p>
    <w:p w:rsidR="00153F08" w:rsidRPr="009F6AC9" w:rsidRDefault="00153F08" w:rsidP="00153F08">
      <w:pPr>
        <w:rPr>
          <w:sz w:val="22"/>
          <w:szCs w:val="22"/>
        </w:rPr>
      </w:pPr>
      <w:r w:rsidRPr="0083712D">
        <w:rPr>
          <w:b/>
          <w:sz w:val="22"/>
          <w:szCs w:val="22"/>
        </w:rPr>
        <w:t>Original dataset:</w:t>
      </w:r>
      <w:r w:rsidR="009F6AC9">
        <w:rPr>
          <w:b/>
          <w:sz w:val="22"/>
          <w:szCs w:val="22"/>
        </w:rPr>
        <w:t xml:space="preserve"> </w:t>
      </w:r>
      <w:r w:rsidR="009F6AC9" w:rsidRPr="009F6AC9">
        <w:rPr>
          <w:sz w:val="22"/>
          <w:szCs w:val="22"/>
        </w:rPr>
        <w:t>from</w:t>
      </w:r>
      <w:r w:rsidR="009F6AC9">
        <w:rPr>
          <w:b/>
          <w:sz w:val="22"/>
          <w:szCs w:val="22"/>
        </w:rPr>
        <w:t xml:space="preserve"> </w:t>
      </w:r>
      <w:r w:rsidR="009F6AC9" w:rsidRPr="009F6AC9">
        <w:rPr>
          <w:sz w:val="22"/>
          <w:szCs w:val="22"/>
        </w:rPr>
        <w:t>07010205-540 (parent of -658)</w:t>
      </w:r>
    </w:p>
    <w:p w:rsidR="00153F08" w:rsidRPr="002D3E6F" w:rsidRDefault="00153F08" w:rsidP="00153F08">
      <w:pPr>
        <w:rPr>
          <w:sz w:val="16"/>
          <w:szCs w:val="16"/>
        </w:rPr>
      </w:pPr>
    </w:p>
    <w:tbl>
      <w:tblPr>
        <w:tblW w:w="7051" w:type="dxa"/>
        <w:tblInd w:w="93" w:type="dxa"/>
        <w:tblLook w:val="0000" w:firstRow="0" w:lastRow="0" w:firstColumn="0" w:lastColumn="0" w:noHBand="0" w:noVBand="0"/>
      </w:tblPr>
      <w:tblGrid>
        <w:gridCol w:w="661"/>
        <w:gridCol w:w="1162"/>
        <w:gridCol w:w="883"/>
        <w:gridCol w:w="1150"/>
        <w:gridCol w:w="1106"/>
        <w:gridCol w:w="1306"/>
        <w:gridCol w:w="906"/>
      </w:tblGrid>
      <w:tr w:rsidR="00153F08" w:rsidRPr="00970B55" w:rsidTr="0074187B">
        <w:trPr>
          <w:trHeight w:val="510"/>
        </w:trPr>
        <w:tc>
          <w:tcPr>
            <w:tcW w:w="661" w:type="dxa"/>
            <w:tcBorders>
              <w:top w:val="single" w:sz="4" w:space="0" w:color="000000"/>
              <w:left w:val="single" w:sz="4" w:space="0" w:color="000000"/>
              <w:bottom w:val="single" w:sz="4" w:space="0" w:color="000000"/>
              <w:right w:val="single" w:sz="4" w:space="0" w:color="000000"/>
            </w:tcBorders>
            <w:shd w:val="clear" w:color="000000" w:fill="C0C0C0"/>
          </w:tcPr>
          <w:p w:rsidR="00153F08" w:rsidRPr="00970B55" w:rsidRDefault="00153F08" w:rsidP="0074187B">
            <w:pPr>
              <w:jc w:val="center"/>
              <w:rPr>
                <w:rFonts w:ascii="Arial" w:hAnsi="Arial" w:cs="Arial"/>
                <w:color w:val="000000"/>
                <w:sz w:val="20"/>
                <w:szCs w:val="20"/>
              </w:rPr>
            </w:pPr>
            <w:r>
              <w:rPr>
                <w:rFonts w:ascii="Arial" w:hAnsi="Arial" w:cs="Arial"/>
                <w:color w:val="000000"/>
                <w:sz w:val="20"/>
                <w:szCs w:val="20"/>
              </w:rPr>
              <w:t>List Year</w:t>
            </w:r>
          </w:p>
        </w:tc>
        <w:tc>
          <w:tcPr>
            <w:tcW w:w="1150" w:type="dxa"/>
            <w:tcBorders>
              <w:top w:val="single" w:sz="4" w:space="0" w:color="000000"/>
              <w:left w:val="nil"/>
              <w:bottom w:val="single" w:sz="4" w:space="0" w:color="000000"/>
              <w:right w:val="single" w:sz="4" w:space="0" w:color="000000"/>
            </w:tcBorders>
            <w:shd w:val="clear" w:color="000000" w:fill="C0C0C0"/>
          </w:tcPr>
          <w:p w:rsidR="00153F08" w:rsidRPr="00970B55" w:rsidRDefault="00153F08" w:rsidP="0074187B">
            <w:pPr>
              <w:jc w:val="center"/>
              <w:rPr>
                <w:rFonts w:ascii="Arial" w:hAnsi="Arial" w:cs="Arial"/>
                <w:color w:val="000000"/>
                <w:sz w:val="20"/>
                <w:szCs w:val="20"/>
              </w:rPr>
            </w:pPr>
            <w:proofErr w:type="spellStart"/>
            <w:r w:rsidRPr="00970B55">
              <w:rPr>
                <w:rFonts w:ascii="Arial" w:hAnsi="Arial" w:cs="Arial"/>
                <w:color w:val="000000"/>
                <w:sz w:val="20"/>
                <w:szCs w:val="20"/>
              </w:rPr>
              <w:t>Station_ID</w:t>
            </w:r>
            <w:proofErr w:type="spellEnd"/>
          </w:p>
        </w:tc>
        <w:tc>
          <w:tcPr>
            <w:tcW w:w="883" w:type="dxa"/>
            <w:tcBorders>
              <w:top w:val="single" w:sz="4" w:space="0" w:color="000000"/>
              <w:left w:val="nil"/>
              <w:bottom w:val="single" w:sz="4" w:space="0" w:color="000000"/>
              <w:right w:val="single" w:sz="4" w:space="0" w:color="000000"/>
            </w:tcBorders>
            <w:shd w:val="clear" w:color="000000" w:fill="C0C0C0"/>
          </w:tcPr>
          <w:p w:rsidR="00153F08" w:rsidRPr="00970B55" w:rsidRDefault="00153F08" w:rsidP="0074187B">
            <w:pPr>
              <w:jc w:val="center"/>
              <w:rPr>
                <w:rFonts w:ascii="Arial" w:hAnsi="Arial" w:cs="Arial"/>
                <w:color w:val="0000FF"/>
                <w:sz w:val="20"/>
                <w:szCs w:val="20"/>
              </w:rPr>
            </w:pPr>
            <w:r w:rsidRPr="00970B55">
              <w:rPr>
                <w:rFonts w:ascii="Arial" w:hAnsi="Arial" w:cs="Arial"/>
                <w:color w:val="0000FF"/>
                <w:sz w:val="20"/>
                <w:szCs w:val="20"/>
              </w:rPr>
              <w:t>Results</w:t>
            </w:r>
          </w:p>
        </w:tc>
        <w:tc>
          <w:tcPr>
            <w:tcW w:w="1150" w:type="dxa"/>
            <w:tcBorders>
              <w:top w:val="single" w:sz="4" w:space="0" w:color="000000"/>
              <w:left w:val="nil"/>
              <w:bottom w:val="single" w:sz="4" w:space="0" w:color="000000"/>
              <w:right w:val="single" w:sz="4" w:space="0" w:color="000000"/>
            </w:tcBorders>
            <w:shd w:val="clear" w:color="000000" w:fill="C0C0C0"/>
          </w:tcPr>
          <w:p w:rsidR="00153F08" w:rsidRPr="00970B55" w:rsidRDefault="00153F08" w:rsidP="0074187B">
            <w:pPr>
              <w:jc w:val="center"/>
              <w:rPr>
                <w:rFonts w:ascii="Arial" w:hAnsi="Arial" w:cs="Arial"/>
                <w:color w:val="000000"/>
                <w:sz w:val="20"/>
                <w:szCs w:val="20"/>
              </w:rPr>
            </w:pPr>
            <w:r w:rsidRPr="00970B55">
              <w:rPr>
                <w:rFonts w:ascii="Arial" w:hAnsi="Arial" w:cs="Arial"/>
                <w:color w:val="000000"/>
                <w:sz w:val="20"/>
                <w:szCs w:val="20"/>
              </w:rPr>
              <w:t>Parameter Name</w:t>
            </w:r>
          </w:p>
        </w:tc>
        <w:tc>
          <w:tcPr>
            <w:tcW w:w="995" w:type="dxa"/>
            <w:tcBorders>
              <w:top w:val="single" w:sz="4" w:space="0" w:color="000000"/>
              <w:left w:val="nil"/>
              <w:bottom w:val="single" w:sz="4" w:space="0" w:color="000000"/>
              <w:right w:val="single" w:sz="4" w:space="0" w:color="000000"/>
            </w:tcBorders>
            <w:shd w:val="clear" w:color="000000" w:fill="C0C0C0"/>
          </w:tcPr>
          <w:p w:rsidR="00153F08" w:rsidRPr="00970B55" w:rsidRDefault="00153F08" w:rsidP="0074187B">
            <w:pPr>
              <w:jc w:val="center"/>
              <w:rPr>
                <w:rFonts w:ascii="Arial" w:hAnsi="Arial" w:cs="Arial"/>
                <w:color w:val="000000"/>
                <w:sz w:val="20"/>
                <w:szCs w:val="20"/>
              </w:rPr>
            </w:pPr>
            <w:r w:rsidRPr="00970B55">
              <w:rPr>
                <w:rFonts w:ascii="Arial" w:hAnsi="Arial" w:cs="Arial"/>
                <w:color w:val="000000"/>
                <w:sz w:val="20"/>
                <w:szCs w:val="20"/>
              </w:rPr>
              <w:t>Date</w:t>
            </w:r>
          </w:p>
        </w:tc>
        <w:tc>
          <w:tcPr>
            <w:tcW w:w="1306" w:type="dxa"/>
            <w:tcBorders>
              <w:top w:val="single" w:sz="4" w:space="0" w:color="000000"/>
              <w:left w:val="nil"/>
              <w:bottom w:val="single" w:sz="4" w:space="0" w:color="000000"/>
              <w:right w:val="single" w:sz="4" w:space="0" w:color="000000"/>
            </w:tcBorders>
            <w:shd w:val="clear" w:color="000000" w:fill="C0C0C0"/>
          </w:tcPr>
          <w:p w:rsidR="00153F08" w:rsidRPr="00970B55" w:rsidRDefault="00153F08" w:rsidP="0074187B">
            <w:pPr>
              <w:jc w:val="center"/>
              <w:rPr>
                <w:rFonts w:ascii="Arial" w:hAnsi="Arial" w:cs="Arial"/>
                <w:color w:val="000000"/>
                <w:sz w:val="20"/>
                <w:szCs w:val="20"/>
              </w:rPr>
            </w:pPr>
            <w:r>
              <w:rPr>
                <w:rFonts w:ascii="Arial" w:hAnsi="Arial" w:cs="Arial"/>
                <w:color w:val="000000"/>
                <w:sz w:val="20"/>
                <w:szCs w:val="20"/>
              </w:rPr>
              <w:t>Assessment</w:t>
            </w:r>
          </w:p>
        </w:tc>
        <w:tc>
          <w:tcPr>
            <w:tcW w:w="906" w:type="dxa"/>
            <w:tcBorders>
              <w:top w:val="single" w:sz="4" w:space="0" w:color="000000"/>
              <w:left w:val="nil"/>
              <w:bottom w:val="single" w:sz="4" w:space="0" w:color="000000"/>
              <w:right w:val="single" w:sz="4" w:space="0" w:color="000000"/>
            </w:tcBorders>
            <w:shd w:val="clear" w:color="000000" w:fill="C0C0C0"/>
          </w:tcPr>
          <w:p w:rsidR="00153F08" w:rsidRPr="00970B55" w:rsidRDefault="00153F08" w:rsidP="0074187B">
            <w:pPr>
              <w:jc w:val="center"/>
              <w:rPr>
                <w:rFonts w:ascii="Arial" w:hAnsi="Arial" w:cs="Arial"/>
                <w:color w:val="000000"/>
                <w:sz w:val="20"/>
                <w:szCs w:val="20"/>
              </w:rPr>
            </w:pPr>
            <w:r w:rsidRPr="00970B55">
              <w:rPr>
                <w:rFonts w:ascii="Arial" w:hAnsi="Arial" w:cs="Arial"/>
                <w:color w:val="000000"/>
                <w:sz w:val="20"/>
                <w:szCs w:val="20"/>
              </w:rPr>
              <w:t>C</w:t>
            </w:r>
            <w:r>
              <w:rPr>
                <w:rFonts w:ascii="Arial" w:hAnsi="Arial" w:cs="Arial"/>
                <w:color w:val="000000"/>
                <w:sz w:val="20"/>
                <w:szCs w:val="20"/>
              </w:rPr>
              <w:t>h</w:t>
            </w:r>
            <w:r w:rsidRPr="00970B55">
              <w:rPr>
                <w:rFonts w:ascii="Arial" w:hAnsi="Arial" w:cs="Arial"/>
                <w:color w:val="000000"/>
                <w:sz w:val="20"/>
                <w:szCs w:val="20"/>
              </w:rPr>
              <w:t xml:space="preserve">ronic </w:t>
            </w:r>
            <w:proofErr w:type="spellStart"/>
            <w:r w:rsidRPr="00970B55">
              <w:rPr>
                <w:rFonts w:ascii="Arial" w:hAnsi="Arial" w:cs="Arial"/>
                <w:color w:val="000000"/>
                <w:sz w:val="20"/>
                <w:szCs w:val="20"/>
              </w:rPr>
              <w:t>Std</w:t>
            </w:r>
            <w:proofErr w:type="spellEnd"/>
          </w:p>
        </w:tc>
      </w:tr>
      <w:tr w:rsidR="00153F08" w:rsidRPr="00970B55" w:rsidTr="0074187B">
        <w:trPr>
          <w:trHeight w:val="255"/>
        </w:trPr>
        <w:tc>
          <w:tcPr>
            <w:tcW w:w="661" w:type="dxa"/>
            <w:tcBorders>
              <w:top w:val="single" w:sz="4" w:space="0" w:color="C0C0C0"/>
              <w:left w:val="single" w:sz="4" w:space="0" w:color="C0C0C0"/>
              <w:bottom w:val="single" w:sz="4" w:space="0" w:color="C0C0C0"/>
              <w:right w:val="single" w:sz="4" w:space="0" w:color="C0C0C0"/>
            </w:tcBorders>
            <w:shd w:val="clear" w:color="auto" w:fill="auto"/>
          </w:tcPr>
          <w:p w:rsidR="00153F08" w:rsidRPr="00970B55" w:rsidRDefault="00BB1E40" w:rsidP="0074187B">
            <w:pPr>
              <w:jc w:val="right"/>
              <w:rPr>
                <w:rFonts w:ascii="Arial" w:hAnsi="Arial" w:cs="Arial"/>
                <w:color w:val="000000"/>
                <w:sz w:val="20"/>
                <w:szCs w:val="20"/>
              </w:rPr>
            </w:pPr>
            <w:r>
              <w:rPr>
                <w:rFonts w:ascii="Arial" w:hAnsi="Arial" w:cs="Arial"/>
                <w:color w:val="000000"/>
                <w:sz w:val="20"/>
                <w:szCs w:val="20"/>
              </w:rPr>
              <w:t>2006</w:t>
            </w:r>
          </w:p>
        </w:tc>
        <w:tc>
          <w:tcPr>
            <w:tcW w:w="1150" w:type="dxa"/>
            <w:tcBorders>
              <w:top w:val="single" w:sz="4" w:space="0" w:color="C0C0C0"/>
              <w:left w:val="nil"/>
              <w:bottom w:val="single" w:sz="4" w:space="0" w:color="C0C0C0"/>
              <w:right w:val="single" w:sz="4" w:space="0" w:color="C0C0C0"/>
            </w:tcBorders>
            <w:shd w:val="clear" w:color="auto" w:fill="auto"/>
          </w:tcPr>
          <w:p w:rsidR="00153F08" w:rsidRPr="00970B55" w:rsidRDefault="00BB1E40" w:rsidP="0074187B">
            <w:pPr>
              <w:rPr>
                <w:rFonts w:ascii="Arial" w:hAnsi="Arial" w:cs="Arial"/>
                <w:color w:val="000000"/>
                <w:sz w:val="20"/>
                <w:szCs w:val="20"/>
              </w:rPr>
            </w:pPr>
            <w:r>
              <w:rPr>
                <w:rFonts w:ascii="Arial" w:hAnsi="Arial" w:cs="Arial"/>
                <w:color w:val="000000"/>
                <w:sz w:val="20"/>
                <w:szCs w:val="20"/>
              </w:rPr>
              <w:t>99UM070</w:t>
            </w:r>
            <w:r w:rsidR="009F6AC9">
              <w:rPr>
                <w:rFonts w:ascii="Arial" w:hAnsi="Arial" w:cs="Arial"/>
                <w:color w:val="000000"/>
                <w:sz w:val="20"/>
                <w:szCs w:val="20"/>
              </w:rPr>
              <w:t>*</w:t>
            </w:r>
          </w:p>
        </w:tc>
        <w:tc>
          <w:tcPr>
            <w:tcW w:w="883" w:type="dxa"/>
            <w:tcBorders>
              <w:top w:val="single" w:sz="4" w:space="0" w:color="C0C0C0"/>
              <w:left w:val="nil"/>
              <w:bottom w:val="single" w:sz="4" w:space="0" w:color="C0C0C0"/>
              <w:right w:val="single" w:sz="4" w:space="0" w:color="C0C0C0"/>
            </w:tcBorders>
            <w:shd w:val="clear" w:color="auto" w:fill="auto"/>
          </w:tcPr>
          <w:p w:rsidR="00153F08" w:rsidRPr="00970B55" w:rsidRDefault="009F6AC9" w:rsidP="0074187B">
            <w:pPr>
              <w:jc w:val="center"/>
              <w:rPr>
                <w:rFonts w:ascii="Arial" w:hAnsi="Arial" w:cs="Arial"/>
                <w:color w:val="FF0000"/>
                <w:sz w:val="20"/>
                <w:szCs w:val="20"/>
              </w:rPr>
            </w:pPr>
            <w:r>
              <w:rPr>
                <w:rFonts w:ascii="Arial" w:hAnsi="Arial" w:cs="Arial"/>
                <w:color w:val="FF0000"/>
                <w:sz w:val="20"/>
                <w:szCs w:val="20"/>
              </w:rPr>
              <w:t>31</w:t>
            </w:r>
          </w:p>
        </w:tc>
        <w:tc>
          <w:tcPr>
            <w:tcW w:w="1150" w:type="dxa"/>
            <w:tcBorders>
              <w:top w:val="single" w:sz="4" w:space="0" w:color="C0C0C0"/>
              <w:left w:val="nil"/>
              <w:bottom w:val="single" w:sz="4" w:space="0" w:color="C0C0C0"/>
              <w:right w:val="single" w:sz="4" w:space="0" w:color="C0C0C0"/>
            </w:tcBorders>
            <w:shd w:val="clear" w:color="auto" w:fill="auto"/>
          </w:tcPr>
          <w:p w:rsidR="00153F08" w:rsidRPr="00970B55" w:rsidRDefault="00153F08" w:rsidP="009F6AC9">
            <w:pPr>
              <w:rPr>
                <w:rFonts w:ascii="Arial" w:hAnsi="Arial" w:cs="Arial"/>
                <w:color w:val="000000"/>
                <w:sz w:val="20"/>
                <w:szCs w:val="20"/>
              </w:rPr>
            </w:pPr>
            <w:r w:rsidRPr="00970B55">
              <w:rPr>
                <w:rFonts w:ascii="Arial" w:hAnsi="Arial" w:cs="Arial"/>
                <w:color w:val="000000"/>
                <w:sz w:val="20"/>
                <w:szCs w:val="20"/>
              </w:rPr>
              <w:t xml:space="preserve">IBI </w:t>
            </w:r>
            <w:r w:rsidR="009F6AC9">
              <w:rPr>
                <w:rFonts w:ascii="Arial" w:hAnsi="Arial" w:cs="Arial"/>
                <w:color w:val="000000"/>
                <w:sz w:val="20"/>
                <w:szCs w:val="20"/>
              </w:rPr>
              <w:t>Inverts</w:t>
            </w:r>
          </w:p>
        </w:tc>
        <w:tc>
          <w:tcPr>
            <w:tcW w:w="995" w:type="dxa"/>
            <w:tcBorders>
              <w:top w:val="single" w:sz="4" w:space="0" w:color="C0C0C0"/>
              <w:left w:val="nil"/>
              <w:bottom w:val="single" w:sz="4" w:space="0" w:color="C0C0C0"/>
              <w:right w:val="single" w:sz="4" w:space="0" w:color="C0C0C0"/>
            </w:tcBorders>
            <w:shd w:val="clear" w:color="auto" w:fill="auto"/>
          </w:tcPr>
          <w:p w:rsidR="00153F08" w:rsidRPr="00970B55" w:rsidRDefault="009F6AC9" w:rsidP="0074187B">
            <w:pPr>
              <w:jc w:val="right"/>
              <w:rPr>
                <w:rFonts w:ascii="Arial" w:hAnsi="Arial" w:cs="Arial"/>
                <w:color w:val="000000"/>
                <w:sz w:val="20"/>
                <w:szCs w:val="20"/>
              </w:rPr>
            </w:pPr>
            <w:r>
              <w:rPr>
                <w:rFonts w:ascii="Arial" w:hAnsi="Arial" w:cs="Arial"/>
                <w:color w:val="000000"/>
                <w:sz w:val="20"/>
                <w:szCs w:val="20"/>
              </w:rPr>
              <w:t>9/14/1999</w:t>
            </w:r>
          </w:p>
        </w:tc>
        <w:tc>
          <w:tcPr>
            <w:tcW w:w="1306" w:type="dxa"/>
            <w:tcBorders>
              <w:top w:val="single" w:sz="4" w:space="0" w:color="C0C0C0"/>
              <w:left w:val="nil"/>
              <w:bottom w:val="single" w:sz="4" w:space="0" w:color="C0C0C0"/>
              <w:right w:val="single" w:sz="4" w:space="0" w:color="C0C0C0"/>
            </w:tcBorders>
            <w:shd w:val="clear" w:color="auto" w:fill="auto"/>
          </w:tcPr>
          <w:p w:rsidR="00153F08" w:rsidRPr="00970B55" w:rsidRDefault="00153F08" w:rsidP="0074187B">
            <w:pPr>
              <w:jc w:val="center"/>
              <w:rPr>
                <w:rFonts w:ascii="Arial" w:hAnsi="Arial" w:cs="Arial"/>
                <w:color w:val="FF0000"/>
                <w:sz w:val="20"/>
                <w:szCs w:val="20"/>
              </w:rPr>
            </w:pPr>
            <w:r w:rsidRPr="00970B55">
              <w:rPr>
                <w:rFonts w:ascii="Arial" w:hAnsi="Arial" w:cs="Arial"/>
                <w:color w:val="FF0000"/>
                <w:sz w:val="20"/>
                <w:szCs w:val="20"/>
              </w:rPr>
              <w:t>NS</w:t>
            </w:r>
          </w:p>
        </w:tc>
        <w:tc>
          <w:tcPr>
            <w:tcW w:w="906" w:type="dxa"/>
            <w:tcBorders>
              <w:top w:val="single" w:sz="4" w:space="0" w:color="C0C0C0"/>
              <w:left w:val="nil"/>
              <w:bottom w:val="single" w:sz="4" w:space="0" w:color="C0C0C0"/>
              <w:right w:val="single" w:sz="4" w:space="0" w:color="C0C0C0"/>
            </w:tcBorders>
            <w:shd w:val="clear" w:color="auto" w:fill="auto"/>
          </w:tcPr>
          <w:p w:rsidR="00153F08" w:rsidRPr="00970B55" w:rsidRDefault="009F6AC9" w:rsidP="0074187B">
            <w:pPr>
              <w:jc w:val="center"/>
              <w:rPr>
                <w:rFonts w:ascii="Arial" w:hAnsi="Arial" w:cs="Arial"/>
                <w:color w:val="000000"/>
                <w:sz w:val="20"/>
                <w:szCs w:val="20"/>
              </w:rPr>
            </w:pPr>
            <w:r>
              <w:rPr>
                <w:rFonts w:ascii="Arial" w:hAnsi="Arial" w:cs="Arial"/>
                <w:color w:val="000000"/>
                <w:sz w:val="20"/>
                <w:szCs w:val="20"/>
              </w:rPr>
              <w:t>53</w:t>
            </w:r>
          </w:p>
        </w:tc>
      </w:tr>
      <w:tr w:rsidR="00153F08" w:rsidRPr="00970B55" w:rsidTr="0074187B">
        <w:trPr>
          <w:trHeight w:val="255"/>
        </w:trPr>
        <w:tc>
          <w:tcPr>
            <w:tcW w:w="661" w:type="dxa"/>
            <w:tcBorders>
              <w:top w:val="single" w:sz="4" w:space="0" w:color="C0C0C0"/>
              <w:left w:val="single" w:sz="4" w:space="0" w:color="C0C0C0"/>
              <w:bottom w:val="single" w:sz="4" w:space="0" w:color="C0C0C0"/>
              <w:right w:val="single" w:sz="4" w:space="0" w:color="C0C0C0"/>
            </w:tcBorders>
            <w:shd w:val="clear" w:color="auto" w:fill="auto"/>
          </w:tcPr>
          <w:p w:rsidR="00153F08" w:rsidRPr="00970B55" w:rsidRDefault="00BB1E40" w:rsidP="0074187B">
            <w:pPr>
              <w:jc w:val="right"/>
              <w:rPr>
                <w:rFonts w:ascii="Arial" w:hAnsi="Arial" w:cs="Arial"/>
                <w:color w:val="000000"/>
                <w:sz w:val="20"/>
                <w:szCs w:val="20"/>
              </w:rPr>
            </w:pPr>
            <w:r>
              <w:rPr>
                <w:rFonts w:ascii="Arial" w:hAnsi="Arial" w:cs="Arial"/>
                <w:color w:val="000000"/>
                <w:sz w:val="20"/>
                <w:szCs w:val="20"/>
              </w:rPr>
              <w:t>2006</w:t>
            </w:r>
          </w:p>
        </w:tc>
        <w:tc>
          <w:tcPr>
            <w:tcW w:w="1150" w:type="dxa"/>
            <w:tcBorders>
              <w:top w:val="single" w:sz="4" w:space="0" w:color="C0C0C0"/>
              <w:left w:val="nil"/>
              <w:bottom w:val="single" w:sz="4" w:space="0" w:color="C0C0C0"/>
              <w:right w:val="single" w:sz="4" w:space="0" w:color="C0C0C0"/>
            </w:tcBorders>
            <w:shd w:val="clear" w:color="auto" w:fill="auto"/>
          </w:tcPr>
          <w:p w:rsidR="00153F08" w:rsidRPr="00970B55" w:rsidRDefault="00BB1E40" w:rsidP="0074187B">
            <w:pPr>
              <w:rPr>
                <w:rFonts w:ascii="Arial" w:hAnsi="Arial" w:cs="Arial"/>
                <w:color w:val="000000"/>
                <w:sz w:val="20"/>
                <w:szCs w:val="20"/>
              </w:rPr>
            </w:pPr>
            <w:r>
              <w:rPr>
                <w:rFonts w:ascii="Arial" w:hAnsi="Arial" w:cs="Arial"/>
                <w:color w:val="000000"/>
                <w:sz w:val="20"/>
                <w:szCs w:val="20"/>
              </w:rPr>
              <w:t>00UM048</w:t>
            </w:r>
          </w:p>
        </w:tc>
        <w:tc>
          <w:tcPr>
            <w:tcW w:w="883" w:type="dxa"/>
            <w:tcBorders>
              <w:top w:val="single" w:sz="4" w:space="0" w:color="C0C0C0"/>
              <w:left w:val="nil"/>
              <w:bottom w:val="single" w:sz="4" w:space="0" w:color="C0C0C0"/>
              <w:right w:val="single" w:sz="4" w:space="0" w:color="C0C0C0"/>
            </w:tcBorders>
            <w:shd w:val="clear" w:color="auto" w:fill="auto"/>
          </w:tcPr>
          <w:p w:rsidR="00153F08" w:rsidRPr="00970B55" w:rsidRDefault="009F6AC9" w:rsidP="0074187B">
            <w:pPr>
              <w:jc w:val="center"/>
              <w:rPr>
                <w:rFonts w:ascii="Arial" w:hAnsi="Arial" w:cs="Arial"/>
                <w:color w:val="FF0000"/>
                <w:sz w:val="20"/>
                <w:szCs w:val="20"/>
              </w:rPr>
            </w:pPr>
            <w:r>
              <w:rPr>
                <w:rFonts w:ascii="Arial" w:hAnsi="Arial" w:cs="Arial"/>
                <w:color w:val="FF0000"/>
                <w:sz w:val="20"/>
                <w:szCs w:val="20"/>
              </w:rPr>
              <w:t>41</w:t>
            </w:r>
          </w:p>
        </w:tc>
        <w:tc>
          <w:tcPr>
            <w:tcW w:w="1150" w:type="dxa"/>
            <w:tcBorders>
              <w:top w:val="single" w:sz="4" w:space="0" w:color="C0C0C0"/>
              <w:left w:val="nil"/>
              <w:bottom w:val="single" w:sz="4" w:space="0" w:color="C0C0C0"/>
              <w:right w:val="single" w:sz="4" w:space="0" w:color="C0C0C0"/>
            </w:tcBorders>
            <w:shd w:val="clear" w:color="auto" w:fill="auto"/>
          </w:tcPr>
          <w:p w:rsidR="00153F08" w:rsidRPr="00970B55" w:rsidRDefault="00153F08" w:rsidP="009F6AC9">
            <w:pPr>
              <w:rPr>
                <w:rFonts w:ascii="Arial" w:hAnsi="Arial" w:cs="Arial"/>
                <w:color w:val="000000"/>
                <w:sz w:val="20"/>
                <w:szCs w:val="20"/>
              </w:rPr>
            </w:pPr>
            <w:r w:rsidRPr="00970B55">
              <w:rPr>
                <w:rFonts w:ascii="Arial" w:hAnsi="Arial" w:cs="Arial"/>
                <w:color w:val="000000"/>
                <w:sz w:val="20"/>
                <w:szCs w:val="20"/>
              </w:rPr>
              <w:t xml:space="preserve">IBI </w:t>
            </w:r>
            <w:r w:rsidR="009F6AC9">
              <w:rPr>
                <w:rFonts w:ascii="Arial" w:hAnsi="Arial" w:cs="Arial"/>
                <w:color w:val="000000"/>
                <w:sz w:val="20"/>
                <w:szCs w:val="20"/>
              </w:rPr>
              <w:t>Inverts</w:t>
            </w:r>
          </w:p>
        </w:tc>
        <w:tc>
          <w:tcPr>
            <w:tcW w:w="995" w:type="dxa"/>
            <w:tcBorders>
              <w:top w:val="single" w:sz="4" w:space="0" w:color="C0C0C0"/>
              <w:left w:val="nil"/>
              <w:bottom w:val="single" w:sz="4" w:space="0" w:color="C0C0C0"/>
              <w:right w:val="single" w:sz="4" w:space="0" w:color="C0C0C0"/>
            </w:tcBorders>
            <w:shd w:val="clear" w:color="auto" w:fill="auto"/>
          </w:tcPr>
          <w:p w:rsidR="00153F08" w:rsidRPr="00970B55" w:rsidRDefault="009F6AC9" w:rsidP="0074187B">
            <w:pPr>
              <w:jc w:val="right"/>
              <w:rPr>
                <w:rFonts w:ascii="Arial" w:hAnsi="Arial" w:cs="Arial"/>
                <w:color w:val="000000"/>
                <w:sz w:val="20"/>
                <w:szCs w:val="20"/>
              </w:rPr>
            </w:pPr>
            <w:r>
              <w:rPr>
                <w:rFonts w:ascii="Arial" w:hAnsi="Arial" w:cs="Arial"/>
                <w:color w:val="000000"/>
                <w:sz w:val="20"/>
                <w:szCs w:val="20"/>
              </w:rPr>
              <w:t>9/20/2000</w:t>
            </w:r>
          </w:p>
        </w:tc>
        <w:tc>
          <w:tcPr>
            <w:tcW w:w="1306" w:type="dxa"/>
            <w:tcBorders>
              <w:top w:val="single" w:sz="4" w:space="0" w:color="C0C0C0"/>
              <w:left w:val="nil"/>
              <w:bottom w:val="single" w:sz="4" w:space="0" w:color="C0C0C0"/>
              <w:right w:val="single" w:sz="4" w:space="0" w:color="C0C0C0"/>
            </w:tcBorders>
            <w:shd w:val="clear" w:color="auto" w:fill="auto"/>
          </w:tcPr>
          <w:p w:rsidR="00153F08" w:rsidRPr="00970B55" w:rsidRDefault="00153F08" w:rsidP="0074187B">
            <w:pPr>
              <w:jc w:val="center"/>
              <w:rPr>
                <w:rFonts w:ascii="Arial" w:hAnsi="Arial" w:cs="Arial"/>
                <w:color w:val="FF0000"/>
                <w:sz w:val="20"/>
                <w:szCs w:val="20"/>
              </w:rPr>
            </w:pPr>
            <w:r w:rsidRPr="00970B55">
              <w:rPr>
                <w:rFonts w:ascii="Arial" w:hAnsi="Arial" w:cs="Arial"/>
                <w:color w:val="FF0000"/>
                <w:sz w:val="20"/>
                <w:szCs w:val="20"/>
              </w:rPr>
              <w:t>NS</w:t>
            </w:r>
          </w:p>
        </w:tc>
        <w:tc>
          <w:tcPr>
            <w:tcW w:w="906" w:type="dxa"/>
            <w:tcBorders>
              <w:top w:val="single" w:sz="4" w:space="0" w:color="C0C0C0"/>
              <w:left w:val="nil"/>
              <w:bottom w:val="single" w:sz="4" w:space="0" w:color="C0C0C0"/>
              <w:right w:val="single" w:sz="4" w:space="0" w:color="C0C0C0"/>
            </w:tcBorders>
            <w:shd w:val="clear" w:color="auto" w:fill="auto"/>
          </w:tcPr>
          <w:p w:rsidR="00153F08" w:rsidRPr="00970B55" w:rsidRDefault="009F6AC9" w:rsidP="0074187B">
            <w:pPr>
              <w:jc w:val="center"/>
              <w:rPr>
                <w:rFonts w:ascii="Arial" w:hAnsi="Arial" w:cs="Arial"/>
                <w:color w:val="000000"/>
                <w:sz w:val="20"/>
                <w:szCs w:val="20"/>
              </w:rPr>
            </w:pPr>
            <w:r>
              <w:rPr>
                <w:rFonts w:ascii="Arial" w:hAnsi="Arial" w:cs="Arial"/>
                <w:color w:val="000000"/>
                <w:sz w:val="20"/>
                <w:szCs w:val="20"/>
              </w:rPr>
              <w:t>53</w:t>
            </w:r>
          </w:p>
        </w:tc>
      </w:tr>
    </w:tbl>
    <w:p w:rsidR="00153F08" w:rsidRPr="002F5CFC" w:rsidRDefault="00153F08" w:rsidP="00153F08">
      <w:pPr>
        <w:rPr>
          <w:sz w:val="22"/>
          <w:szCs w:val="22"/>
        </w:rPr>
      </w:pPr>
    </w:p>
    <w:p w:rsidR="00153F08" w:rsidRDefault="00153F08" w:rsidP="00153F08">
      <w:pPr>
        <w:rPr>
          <w:sz w:val="22"/>
          <w:szCs w:val="22"/>
        </w:rPr>
      </w:pPr>
      <w:r>
        <w:rPr>
          <w:b/>
          <w:sz w:val="22"/>
          <w:szCs w:val="22"/>
        </w:rPr>
        <w:t xml:space="preserve">Reason for Listing / </w:t>
      </w:r>
      <w:r w:rsidRPr="00E950B8">
        <w:rPr>
          <w:b/>
          <w:sz w:val="22"/>
          <w:szCs w:val="22"/>
        </w:rPr>
        <w:t>Additional information:</w:t>
      </w:r>
      <w:r>
        <w:rPr>
          <w:b/>
          <w:sz w:val="22"/>
          <w:szCs w:val="22"/>
        </w:rPr>
        <w:t xml:space="preserve">  </w:t>
      </w:r>
      <w:r w:rsidRPr="00A74107">
        <w:rPr>
          <w:sz w:val="22"/>
          <w:szCs w:val="22"/>
        </w:rPr>
        <w:t xml:space="preserve">threshold for non-support was an IBI of </w:t>
      </w:r>
      <w:r w:rsidR="009F6AC9">
        <w:rPr>
          <w:sz w:val="22"/>
          <w:szCs w:val="22"/>
        </w:rPr>
        <w:t>53</w:t>
      </w:r>
      <w:r>
        <w:rPr>
          <w:sz w:val="22"/>
          <w:szCs w:val="22"/>
        </w:rPr>
        <w:t>.</w:t>
      </w:r>
      <w:r w:rsidR="009F6AC9">
        <w:rPr>
          <w:sz w:val="22"/>
          <w:szCs w:val="22"/>
        </w:rPr>
        <w:t xml:space="preserve"> Both stations from two separate years have IBI scores below the Upper Mississippi River Basin Macroinvertebrate IBI threshold.  AUID was previously listed for fish in 2002.  *99UM070 is not a monitoring station on 07010205-658 due to AUID split.</w:t>
      </w:r>
      <w:r>
        <w:rPr>
          <w:sz w:val="22"/>
          <w:szCs w:val="22"/>
        </w:rPr>
        <w:t xml:space="preserve"> </w:t>
      </w:r>
    </w:p>
    <w:p w:rsidR="00153F08" w:rsidRDefault="00153F08" w:rsidP="00153F08">
      <w:pPr>
        <w:rPr>
          <w:sz w:val="22"/>
          <w:szCs w:val="22"/>
        </w:rPr>
      </w:pPr>
    </w:p>
    <w:p w:rsidR="00153F08" w:rsidRPr="00E950B8" w:rsidRDefault="00153F08" w:rsidP="00153F08">
      <w:pPr>
        <w:rPr>
          <w:b/>
          <w:sz w:val="22"/>
          <w:szCs w:val="22"/>
        </w:rPr>
      </w:pPr>
      <w:r>
        <w:rPr>
          <w:b/>
          <w:sz w:val="22"/>
          <w:szCs w:val="22"/>
        </w:rPr>
        <w:t>Delisting/Correction</w:t>
      </w:r>
      <w:r w:rsidRPr="00E950B8">
        <w:rPr>
          <w:b/>
          <w:sz w:val="22"/>
          <w:szCs w:val="22"/>
        </w:rPr>
        <w:t xml:space="preserve"> requirements:</w:t>
      </w:r>
    </w:p>
    <w:p w:rsidR="00153F08" w:rsidRPr="002D3E6F" w:rsidRDefault="00153F08" w:rsidP="00153F08">
      <w:pPr>
        <w:rPr>
          <w:sz w:val="16"/>
          <w:szCs w:val="16"/>
        </w:rPr>
      </w:pPr>
    </w:p>
    <w:p w:rsidR="00153F08" w:rsidRPr="002F5CFC" w:rsidRDefault="00153F08" w:rsidP="00153F08">
      <w:pPr>
        <w:autoSpaceDE w:val="0"/>
        <w:autoSpaceDN w:val="0"/>
        <w:adjustRightInd w:val="0"/>
        <w:rPr>
          <w:sz w:val="22"/>
          <w:szCs w:val="22"/>
        </w:rPr>
      </w:pPr>
      <w:r w:rsidRPr="002F5CFC">
        <w:rPr>
          <w:b/>
          <w:bCs/>
          <w:sz w:val="22"/>
          <w:szCs w:val="22"/>
        </w:rPr>
        <w:t>X</w:t>
      </w:r>
      <w:r>
        <w:rPr>
          <w:b/>
          <w:bCs/>
          <w:sz w:val="22"/>
          <w:szCs w:val="22"/>
        </w:rPr>
        <w:t>III</w:t>
      </w:r>
      <w:r w:rsidRPr="002F5CFC">
        <w:rPr>
          <w:b/>
          <w:bCs/>
          <w:sz w:val="22"/>
          <w:szCs w:val="22"/>
        </w:rPr>
        <w:t xml:space="preserve">. Removal of </w:t>
      </w:r>
      <w:proofErr w:type="spellStart"/>
      <w:r w:rsidRPr="002F5CFC">
        <w:rPr>
          <w:b/>
          <w:bCs/>
          <w:sz w:val="22"/>
          <w:szCs w:val="22"/>
        </w:rPr>
        <w:t>Waterbodies</w:t>
      </w:r>
      <w:proofErr w:type="spellEnd"/>
      <w:r w:rsidRPr="002F5CFC">
        <w:rPr>
          <w:b/>
          <w:bCs/>
          <w:sz w:val="22"/>
          <w:szCs w:val="22"/>
        </w:rPr>
        <w:t xml:space="preserve"> </w:t>
      </w:r>
      <w:proofErr w:type="gramStart"/>
      <w:r w:rsidRPr="002F5CFC">
        <w:rPr>
          <w:b/>
          <w:bCs/>
          <w:sz w:val="22"/>
          <w:szCs w:val="22"/>
        </w:rPr>
        <w:t>From</w:t>
      </w:r>
      <w:proofErr w:type="gramEnd"/>
      <w:r w:rsidRPr="002F5CFC">
        <w:rPr>
          <w:b/>
          <w:bCs/>
          <w:sz w:val="22"/>
          <w:szCs w:val="22"/>
        </w:rPr>
        <w:t xml:space="preserve"> 303(d) List of Impaired Waters</w:t>
      </w:r>
    </w:p>
    <w:p w:rsidR="00153F08" w:rsidRPr="00271468" w:rsidRDefault="00153F08" w:rsidP="00153F08">
      <w:pPr>
        <w:autoSpaceDE w:val="0"/>
        <w:autoSpaceDN w:val="0"/>
        <w:adjustRightInd w:val="0"/>
        <w:rPr>
          <w:sz w:val="16"/>
          <w:szCs w:val="16"/>
        </w:rPr>
      </w:pPr>
    </w:p>
    <w:p w:rsidR="00153F08" w:rsidRDefault="00153F08" w:rsidP="00153F08">
      <w:pPr>
        <w:autoSpaceDE w:val="0"/>
        <w:autoSpaceDN w:val="0"/>
        <w:adjustRightInd w:val="0"/>
        <w:rPr>
          <w:sz w:val="22"/>
          <w:szCs w:val="22"/>
        </w:rPr>
      </w:pPr>
      <w:r w:rsidRPr="002F5CFC">
        <w:rPr>
          <w:sz w:val="22"/>
          <w:szCs w:val="22"/>
        </w:rPr>
        <w:t>"Streams with impaired aq</w:t>
      </w:r>
      <w:r>
        <w:rPr>
          <w:sz w:val="22"/>
          <w:szCs w:val="22"/>
        </w:rPr>
        <w:t xml:space="preserve">uatic communities can be corrected if additional bio-monitoring </w:t>
      </w:r>
      <w:r w:rsidRPr="002F5CFC">
        <w:rPr>
          <w:sz w:val="22"/>
          <w:szCs w:val="22"/>
        </w:rPr>
        <w:t>indicates that the community is no longer impaired when compa</w:t>
      </w:r>
      <w:r>
        <w:rPr>
          <w:sz w:val="22"/>
          <w:szCs w:val="22"/>
        </w:rPr>
        <w:t xml:space="preserve">red to the threshold indices of </w:t>
      </w:r>
      <w:r w:rsidRPr="002F5CFC">
        <w:rPr>
          <w:sz w:val="22"/>
          <w:szCs w:val="22"/>
        </w:rPr>
        <w:t>biotic integrity (IBI). Streams listed as impaired using the earl</w:t>
      </w:r>
      <w:r>
        <w:rPr>
          <w:sz w:val="22"/>
          <w:szCs w:val="22"/>
        </w:rPr>
        <w:t>ier narrative IBIs (Karr et al. 1986, Table 14</w:t>
      </w:r>
      <w:r w:rsidRPr="002F5CFC">
        <w:rPr>
          <w:sz w:val="22"/>
          <w:szCs w:val="22"/>
        </w:rPr>
        <w:t>) can be de-listed using the same narrative IBIs i</w:t>
      </w:r>
      <w:r>
        <w:rPr>
          <w:sz w:val="22"/>
          <w:szCs w:val="22"/>
        </w:rPr>
        <w:t xml:space="preserve">f watershed-specific, </w:t>
      </w:r>
      <w:proofErr w:type="gramStart"/>
      <w:r>
        <w:rPr>
          <w:sz w:val="22"/>
          <w:szCs w:val="22"/>
        </w:rPr>
        <w:t xml:space="preserve">reference </w:t>
      </w:r>
      <w:r w:rsidRPr="002F5CFC">
        <w:rPr>
          <w:sz w:val="22"/>
          <w:szCs w:val="22"/>
        </w:rPr>
        <w:t>site-based, IBIs have</w:t>
      </w:r>
      <w:proofErr w:type="gramEnd"/>
      <w:r w:rsidRPr="002F5CFC">
        <w:rPr>
          <w:sz w:val="22"/>
          <w:szCs w:val="22"/>
        </w:rPr>
        <w:t xml:space="preserve"> not been determined for that reach. Other</w:t>
      </w:r>
      <w:r>
        <w:rPr>
          <w:sz w:val="22"/>
          <w:szCs w:val="22"/>
        </w:rPr>
        <w:t xml:space="preserve">wise, streams will be de-listed </w:t>
      </w:r>
      <w:r w:rsidRPr="002F5CFC">
        <w:rPr>
          <w:sz w:val="22"/>
          <w:szCs w:val="22"/>
        </w:rPr>
        <w:t xml:space="preserve">using the reference site-based threshold IBIs (in Section </w:t>
      </w:r>
      <w:r>
        <w:rPr>
          <w:sz w:val="22"/>
          <w:szCs w:val="22"/>
        </w:rPr>
        <w:t>V</w:t>
      </w:r>
      <w:r w:rsidRPr="002F5CFC">
        <w:rPr>
          <w:sz w:val="22"/>
          <w:szCs w:val="22"/>
        </w:rPr>
        <w:t>.</w:t>
      </w:r>
      <w:r>
        <w:rPr>
          <w:sz w:val="22"/>
          <w:szCs w:val="22"/>
        </w:rPr>
        <w:t>B.</w:t>
      </w:r>
      <w:r w:rsidRPr="002F5CFC">
        <w:rPr>
          <w:sz w:val="22"/>
          <w:szCs w:val="22"/>
        </w:rPr>
        <w:t>)".</w:t>
      </w:r>
    </w:p>
    <w:p w:rsidR="00153F08" w:rsidRDefault="00153F08" w:rsidP="00153F08">
      <w:pPr>
        <w:rPr>
          <w:sz w:val="22"/>
          <w:szCs w:val="22"/>
        </w:rPr>
      </w:pPr>
    </w:p>
    <w:p w:rsidR="00153F08" w:rsidRDefault="00153F08" w:rsidP="00153F08">
      <w:pPr>
        <w:rPr>
          <w:b/>
          <w:sz w:val="22"/>
          <w:szCs w:val="22"/>
        </w:rPr>
      </w:pPr>
    </w:p>
    <w:p w:rsidR="00153F08" w:rsidRPr="00A71FB7" w:rsidRDefault="00153F08" w:rsidP="00153F08">
      <w:pPr>
        <w:rPr>
          <w:b/>
          <w:sz w:val="22"/>
          <w:szCs w:val="22"/>
        </w:rPr>
      </w:pPr>
      <w:r>
        <w:rPr>
          <w:b/>
          <w:sz w:val="22"/>
          <w:szCs w:val="22"/>
        </w:rPr>
        <w:t>Current assessment (2012):</w:t>
      </w:r>
    </w:p>
    <w:p w:rsidR="00153F08" w:rsidRPr="007C030B" w:rsidRDefault="00153F08" w:rsidP="00153F08">
      <w:pPr>
        <w:rPr>
          <w:b/>
          <w:sz w:val="22"/>
          <w:szCs w:val="22"/>
        </w:rPr>
      </w:pPr>
      <w:r w:rsidRPr="007C030B">
        <w:rPr>
          <w:b/>
          <w:sz w:val="22"/>
          <w:szCs w:val="22"/>
        </w:rPr>
        <w:t>New dataset:</w:t>
      </w:r>
      <w:r w:rsidR="009F6AC9">
        <w:rPr>
          <w:b/>
          <w:sz w:val="22"/>
          <w:szCs w:val="22"/>
        </w:rPr>
        <w:t xml:space="preserve"> </w:t>
      </w:r>
      <w:r w:rsidR="009F6AC9" w:rsidRPr="00B5766B">
        <w:rPr>
          <w:sz w:val="22"/>
          <w:szCs w:val="22"/>
        </w:rPr>
        <w:t>with current M</w:t>
      </w:r>
      <w:r w:rsidRPr="00B5766B">
        <w:rPr>
          <w:sz w:val="22"/>
          <w:szCs w:val="22"/>
        </w:rPr>
        <w:t>-IBI</w:t>
      </w:r>
      <w:r w:rsidR="00B5766B" w:rsidRPr="00B5766B">
        <w:rPr>
          <w:sz w:val="22"/>
          <w:szCs w:val="22"/>
        </w:rPr>
        <w:t xml:space="preserve"> </w:t>
      </w:r>
      <w:r w:rsidR="00B5766B" w:rsidRPr="00B5766B">
        <w:rPr>
          <w:sz w:val="22"/>
          <w:szCs w:val="22"/>
          <w:u w:val="single"/>
        </w:rPr>
        <w:t>and</w:t>
      </w:r>
      <w:r w:rsidR="00B5766B">
        <w:rPr>
          <w:b/>
          <w:sz w:val="22"/>
          <w:szCs w:val="22"/>
        </w:rPr>
        <w:t xml:space="preserve"> </w:t>
      </w:r>
      <w:r w:rsidR="00B5766B" w:rsidRPr="00B5766B">
        <w:rPr>
          <w:sz w:val="22"/>
          <w:szCs w:val="22"/>
        </w:rPr>
        <w:t>modified aquatic use criteria</w:t>
      </w:r>
    </w:p>
    <w:p w:rsidR="00153F08" w:rsidRPr="002D3E6F" w:rsidRDefault="00153F08" w:rsidP="00153F08">
      <w:pPr>
        <w:rPr>
          <w:sz w:val="16"/>
          <w:szCs w:val="16"/>
        </w:rPr>
      </w:pPr>
    </w:p>
    <w:tbl>
      <w:tblPr>
        <w:tblW w:w="7935" w:type="dxa"/>
        <w:tblInd w:w="93" w:type="dxa"/>
        <w:tblLayout w:type="fixed"/>
        <w:tblLook w:val="0000" w:firstRow="0" w:lastRow="0" w:firstColumn="0" w:lastColumn="0" w:noHBand="0" w:noVBand="0"/>
      </w:tblPr>
      <w:tblGrid>
        <w:gridCol w:w="695"/>
        <w:gridCol w:w="1150"/>
        <w:gridCol w:w="883"/>
        <w:gridCol w:w="1150"/>
        <w:gridCol w:w="1177"/>
        <w:gridCol w:w="1440"/>
        <w:gridCol w:w="1440"/>
      </w:tblGrid>
      <w:tr w:rsidR="00153F08" w:rsidRPr="004D5378" w:rsidTr="0074187B">
        <w:trPr>
          <w:trHeight w:val="510"/>
        </w:trPr>
        <w:tc>
          <w:tcPr>
            <w:tcW w:w="695" w:type="dxa"/>
            <w:tcBorders>
              <w:top w:val="single" w:sz="4" w:space="0" w:color="000000"/>
              <w:left w:val="single" w:sz="4" w:space="0" w:color="000000"/>
              <w:bottom w:val="single" w:sz="4" w:space="0" w:color="000000"/>
              <w:right w:val="single" w:sz="4" w:space="0" w:color="000000"/>
            </w:tcBorders>
            <w:shd w:val="clear" w:color="000000" w:fill="C0C0C0"/>
          </w:tcPr>
          <w:p w:rsidR="00153F08" w:rsidRPr="004D5378" w:rsidRDefault="00153F08" w:rsidP="0074187B">
            <w:pPr>
              <w:jc w:val="center"/>
              <w:rPr>
                <w:rFonts w:ascii="Arial" w:hAnsi="Arial" w:cs="Arial"/>
                <w:color w:val="000000"/>
                <w:sz w:val="20"/>
                <w:szCs w:val="20"/>
              </w:rPr>
            </w:pPr>
            <w:r>
              <w:rPr>
                <w:rFonts w:ascii="Arial" w:hAnsi="Arial" w:cs="Arial"/>
                <w:color w:val="000000"/>
                <w:sz w:val="20"/>
                <w:szCs w:val="20"/>
              </w:rPr>
              <w:t>List Year</w:t>
            </w:r>
          </w:p>
        </w:tc>
        <w:tc>
          <w:tcPr>
            <w:tcW w:w="1150" w:type="dxa"/>
            <w:tcBorders>
              <w:top w:val="single" w:sz="4" w:space="0" w:color="000000"/>
              <w:left w:val="nil"/>
              <w:bottom w:val="single" w:sz="4" w:space="0" w:color="000000"/>
              <w:right w:val="single" w:sz="4" w:space="0" w:color="000000"/>
            </w:tcBorders>
            <w:shd w:val="clear" w:color="000000" w:fill="C0C0C0"/>
          </w:tcPr>
          <w:p w:rsidR="00153F08" w:rsidRPr="004D5378" w:rsidRDefault="00153F08" w:rsidP="0074187B">
            <w:pPr>
              <w:jc w:val="center"/>
              <w:rPr>
                <w:rFonts w:ascii="Arial" w:hAnsi="Arial" w:cs="Arial"/>
                <w:color w:val="000000"/>
                <w:sz w:val="20"/>
                <w:szCs w:val="20"/>
              </w:rPr>
            </w:pPr>
            <w:proofErr w:type="spellStart"/>
            <w:r w:rsidRPr="004D5378">
              <w:rPr>
                <w:rFonts w:ascii="Arial" w:hAnsi="Arial" w:cs="Arial"/>
                <w:color w:val="000000"/>
                <w:sz w:val="20"/>
                <w:szCs w:val="20"/>
              </w:rPr>
              <w:t>Station_ID</w:t>
            </w:r>
            <w:proofErr w:type="spellEnd"/>
          </w:p>
        </w:tc>
        <w:tc>
          <w:tcPr>
            <w:tcW w:w="883" w:type="dxa"/>
            <w:tcBorders>
              <w:top w:val="single" w:sz="4" w:space="0" w:color="000000"/>
              <w:left w:val="nil"/>
              <w:bottom w:val="single" w:sz="4" w:space="0" w:color="000000"/>
              <w:right w:val="single" w:sz="4" w:space="0" w:color="000000"/>
            </w:tcBorders>
            <w:shd w:val="clear" w:color="000000" w:fill="C0C0C0"/>
          </w:tcPr>
          <w:p w:rsidR="00153F08" w:rsidRPr="004D5378" w:rsidRDefault="00153F08" w:rsidP="0074187B">
            <w:pPr>
              <w:jc w:val="center"/>
              <w:rPr>
                <w:rFonts w:ascii="Arial" w:hAnsi="Arial" w:cs="Arial"/>
                <w:color w:val="0000FF"/>
                <w:sz w:val="20"/>
                <w:szCs w:val="20"/>
              </w:rPr>
            </w:pPr>
            <w:r w:rsidRPr="004D5378">
              <w:rPr>
                <w:rFonts w:ascii="Arial" w:hAnsi="Arial" w:cs="Arial"/>
                <w:color w:val="0000FF"/>
                <w:sz w:val="20"/>
                <w:szCs w:val="20"/>
              </w:rPr>
              <w:t>Results</w:t>
            </w:r>
          </w:p>
        </w:tc>
        <w:tc>
          <w:tcPr>
            <w:tcW w:w="1150" w:type="dxa"/>
            <w:tcBorders>
              <w:top w:val="single" w:sz="4" w:space="0" w:color="000000"/>
              <w:left w:val="nil"/>
              <w:bottom w:val="single" w:sz="4" w:space="0" w:color="000000"/>
              <w:right w:val="single" w:sz="4" w:space="0" w:color="000000"/>
            </w:tcBorders>
            <w:shd w:val="clear" w:color="000000" w:fill="C0C0C0"/>
          </w:tcPr>
          <w:p w:rsidR="00153F08" w:rsidRPr="004D5378" w:rsidRDefault="00153F08" w:rsidP="0074187B">
            <w:pPr>
              <w:jc w:val="center"/>
              <w:rPr>
                <w:rFonts w:ascii="Arial" w:hAnsi="Arial" w:cs="Arial"/>
                <w:color w:val="000000"/>
                <w:sz w:val="20"/>
                <w:szCs w:val="20"/>
              </w:rPr>
            </w:pPr>
            <w:r w:rsidRPr="004D5378">
              <w:rPr>
                <w:rFonts w:ascii="Arial" w:hAnsi="Arial" w:cs="Arial"/>
                <w:color w:val="000000"/>
                <w:sz w:val="20"/>
                <w:szCs w:val="20"/>
              </w:rPr>
              <w:t>Parameter Name</w:t>
            </w:r>
          </w:p>
        </w:tc>
        <w:tc>
          <w:tcPr>
            <w:tcW w:w="1177" w:type="dxa"/>
            <w:tcBorders>
              <w:top w:val="single" w:sz="4" w:space="0" w:color="000000"/>
              <w:left w:val="nil"/>
              <w:bottom w:val="single" w:sz="4" w:space="0" w:color="000000"/>
              <w:right w:val="single" w:sz="4" w:space="0" w:color="000000"/>
            </w:tcBorders>
            <w:shd w:val="clear" w:color="000000" w:fill="C0C0C0"/>
          </w:tcPr>
          <w:p w:rsidR="00153F08" w:rsidRPr="004D5378" w:rsidRDefault="00153F08" w:rsidP="0074187B">
            <w:pPr>
              <w:jc w:val="center"/>
              <w:rPr>
                <w:rFonts w:ascii="Arial" w:hAnsi="Arial" w:cs="Arial"/>
                <w:color w:val="000000"/>
                <w:sz w:val="20"/>
                <w:szCs w:val="20"/>
              </w:rPr>
            </w:pPr>
            <w:r w:rsidRPr="004D5378">
              <w:rPr>
                <w:rFonts w:ascii="Arial" w:hAnsi="Arial" w:cs="Arial"/>
                <w:color w:val="000000"/>
                <w:sz w:val="20"/>
                <w:szCs w:val="20"/>
              </w:rPr>
              <w:t>Date</w:t>
            </w:r>
          </w:p>
        </w:tc>
        <w:tc>
          <w:tcPr>
            <w:tcW w:w="1440" w:type="dxa"/>
            <w:tcBorders>
              <w:top w:val="single" w:sz="4" w:space="0" w:color="000000"/>
              <w:left w:val="nil"/>
              <w:bottom w:val="single" w:sz="4" w:space="0" w:color="000000"/>
              <w:right w:val="single" w:sz="4" w:space="0" w:color="000000"/>
            </w:tcBorders>
            <w:shd w:val="clear" w:color="000000" w:fill="C0C0C0"/>
          </w:tcPr>
          <w:p w:rsidR="00153F08" w:rsidRPr="004D5378" w:rsidRDefault="00153F08" w:rsidP="0074187B">
            <w:pPr>
              <w:jc w:val="center"/>
              <w:rPr>
                <w:rFonts w:ascii="Arial" w:hAnsi="Arial" w:cs="Arial"/>
                <w:color w:val="000000"/>
                <w:sz w:val="20"/>
                <w:szCs w:val="20"/>
              </w:rPr>
            </w:pPr>
            <w:r>
              <w:rPr>
                <w:rFonts w:ascii="Arial" w:hAnsi="Arial" w:cs="Arial"/>
                <w:color w:val="000000"/>
                <w:sz w:val="20"/>
                <w:szCs w:val="20"/>
              </w:rPr>
              <w:t>Assessment</w:t>
            </w:r>
          </w:p>
        </w:tc>
        <w:tc>
          <w:tcPr>
            <w:tcW w:w="1440" w:type="dxa"/>
            <w:tcBorders>
              <w:top w:val="single" w:sz="4" w:space="0" w:color="000000"/>
              <w:left w:val="nil"/>
              <w:bottom w:val="single" w:sz="4" w:space="0" w:color="000000"/>
              <w:right w:val="single" w:sz="4" w:space="0" w:color="000000"/>
            </w:tcBorders>
            <w:shd w:val="clear" w:color="000000" w:fill="C0C0C0"/>
          </w:tcPr>
          <w:p w:rsidR="00153F08" w:rsidRPr="004D5378" w:rsidRDefault="00153F08" w:rsidP="0074187B">
            <w:pPr>
              <w:jc w:val="center"/>
              <w:rPr>
                <w:rFonts w:ascii="Arial" w:hAnsi="Arial" w:cs="Arial"/>
                <w:color w:val="000000"/>
                <w:sz w:val="20"/>
                <w:szCs w:val="20"/>
              </w:rPr>
            </w:pPr>
            <w:r w:rsidRPr="004D5378">
              <w:rPr>
                <w:rFonts w:ascii="Arial" w:hAnsi="Arial" w:cs="Arial"/>
                <w:color w:val="000000"/>
                <w:sz w:val="20"/>
                <w:szCs w:val="20"/>
              </w:rPr>
              <w:t>C</w:t>
            </w:r>
            <w:r>
              <w:rPr>
                <w:rFonts w:ascii="Arial" w:hAnsi="Arial" w:cs="Arial"/>
                <w:color w:val="000000"/>
                <w:sz w:val="20"/>
                <w:szCs w:val="20"/>
              </w:rPr>
              <w:t>h</w:t>
            </w:r>
            <w:r w:rsidRPr="004D5378">
              <w:rPr>
                <w:rFonts w:ascii="Arial" w:hAnsi="Arial" w:cs="Arial"/>
                <w:color w:val="000000"/>
                <w:sz w:val="20"/>
                <w:szCs w:val="20"/>
              </w:rPr>
              <w:t xml:space="preserve">ronic </w:t>
            </w:r>
            <w:proofErr w:type="spellStart"/>
            <w:r w:rsidRPr="004D5378">
              <w:rPr>
                <w:rFonts w:ascii="Arial" w:hAnsi="Arial" w:cs="Arial"/>
                <w:color w:val="000000"/>
                <w:sz w:val="20"/>
                <w:szCs w:val="20"/>
              </w:rPr>
              <w:t>Std</w:t>
            </w:r>
            <w:proofErr w:type="spellEnd"/>
          </w:p>
        </w:tc>
      </w:tr>
      <w:tr w:rsidR="00153F08" w:rsidRPr="004D5378" w:rsidTr="0074187B">
        <w:trPr>
          <w:trHeight w:val="255"/>
        </w:trPr>
        <w:tc>
          <w:tcPr>
            <w:tcW w:w="695" w:type="dxa"/>
            <w:tcBorders>
              <w:top w:val="nil"/>
              <w:left w:val="single" w:sz="4" w:space="0" w:color="C0C0C0"/>
              <w:bottom w:val="single" w:sz="4" w:space="0" w:color="C0C0C0"/>
              <w:right w:val="single" w:sz="4" w:space="0" w:color="C0C0C0"/>
            </w:tcBorders>
            <w:shd w:val="clear" w:color="auto" w:fill="auto"/>
          </w:tcPr>
          <w:p w:rsidR="00153F08" w:rsidRPr="004D5378" w:rsidRDefault="009F6AC9" w:rsidP="0074187B">
            <w:pPr>
              <w:jc w:val="right"/>
              <w:rPr>
                <w:rFonts w:ascii="Arial" w:hAnsi="Arial" w:cs="Arial"/>
                <w:color w:val="000000"/>
                <w:sz w:val="20"/>
                <w:szCs w:val="20"/>
              </w:rPr>
            </w:pPr>
            <w:r>
              <w:rPr>
                <w:rFonts w:ascii="Arial" w:hAnsi="Arial" w:cs="Arial"/>
                <w:color w:val="000000"/>
                <w:sz w:val="20"/>
                <w:szCs w:val="20"/>
              </w:rPr>
              <w:t>2014</w:t>
            </w:r>
          </w:p>
        </w:tc>
        <w:tc>
          <w:tcPr>
            <w:tcW w:w="1150" w:type="dxa"/>
            <w:tcBorders>
              <w:top w:val="nil"/>
              <w:left w:val="nil"/>
              <w:bottom w:val="single" w:sz="4" w:space="0" w:color="C0C0C0"/>
              <w:right w:val="single" w:sz="4" w:space="0" w:color="C0C0C0"/>
            </w:tcBorders>
            <w:shd w:val="clear" w:color="auto" w:fill="auto"/>
          </w:tcPr>
          <w:p w:rsidR="00153F08" w:rsidRPr="004D5378" w:rsidRDefault="00B5766B" w:rsidP="0074187B">
            <w:pPr>
              <w:rPr>
                <w:rFonts w:ascii="Arial" w:hAnsi="Arial" w:cs="Arial"/>
                <w:color w:val="000000"/>
                <w:sz w:val="20"/>
                <w:szCs w:val="20"/>
              </w:rPr>
            </w:pPr>
            <w:r>
              <w:rPr>
                <w:rFonts w:ascii="Arial" w:hAnsi="Arial" w:cs="Arial"/>
                <w:color w:val="000000"/>
                <w:sz w:val="20"/>
                <w:szCs w:val="20"/>
              </w:rPr>
              <w:t>12UM042</w:t>
            </w:r>
          </w:p>
        </w:tc>
        <w:tc>
          <w:tcPr>
            <w:tcW w:w="883" w:type="dxa"/>
            <w:tcBorders>
              <w:top w:val="nil"/>
              <w:left w:val="nil"/>
              <w:bottom w:val="single" w:sz="4" w:space="0" w:color="C0C0C0"/>
              <w:right w:val="single" w:sz="4" w:space="0" w:color="C0C0C0"/>
            </w:tcBorders>
            <w:shd w:val="clear" w:color="auto" w:fill="auto"/>
          </w:tcPr>
          <w:p w:rsidR="00153F08" w:rsidRPr="00B921A5" w:rsidRDefault="00B5766B" w:rsidP="0074187B">
            <w:pPr>
              <w:jc w:val="center"/>
              <w:rPr>
                <w:rFonts w:ascii="Arial" w:hAnsi="Arial" w:cs="Arial"/>
                <w:sz w:val="20"/>
                <w:szCs w:val="20"/>
              </w:rPr>
            </w:pPr>
            <w:r>
              <w:rPr>
                <w:rFonts w:ascii="Arial" w:hAnsi="Arial" w:cs="Arial"/>
                <w:sz w:val="20"/>
                <w:szCs w:val="20"/>
              </w:rPr>
              <w:t>25.5</w:t>
            </w:r>
          </w:p>
        </w:tc>
        <w:tc>
          <w:tcPr>
            <w:tcW w:w="1150" w:type="dxa"/>
            <w:tcBorders>
              <w:top w:val="nil"/>
              <w:left w:val="nil"/>
              <w:bottom w:val="single" w:sz="4" w:space="0" w:color="C0C0C0"/>
              <w:right w:val="single" w:sz="4" w:space="0" w:color="C0C0C0"/>
            </w:tcBorders>
            <w:shd w:val="clear" w:color="auto" w:fill="auto"/>
          </w:tcPr>
          <w:p w:rsidR="00153F08" w:rsidRPr="004D5378" w:rsidRDefault="00B5766B" w:rsidP="0074187B">
            <w:pPr>
              <w:rPr>
                <w:rFonts w:ascii="Arial" w:hAnsi="Arial" w:cs="Arial"/>
                <w:color w:val="000000"/>
                <w:sz w:val="20"/>
                <w:szCs w:val="20"/>
              </w:rPr>
            </w:pPr>
            <w:r>
              <w:rPr>
                <w:rFonts w:ascii="Arial" w:hAnsi="Arial" w:cs="Arial"/>
                <w:color w:val="000000"/>
                <w:sz w:val="20"/>
                <w:szCs w:val="20"/>
              </w:rPr>
              <w:t>Invert IBI</w:t>
            </w:r>
          </w:p>
        </w:tc>
        <w:tc>
          <w:tcPr>
            <w:tcW w:w="1177" w:type="dxa"/>
            <w:tcBorders>
              <w:top w:val="nil"/>
              <w:left w:val="nil"/>
              <w:bottom w:val="single" w:sz="4" w:space="0" w:color="C0C0C0"/>
              <w:right w:val="single" w:sz="4" w:space="0" w:color="C0C0C0"/>
            </w:tcBorders>
            <w:shd w:val="clear" w:color="auto" w:fill="auto"/>
          </w:tcPr>
          <w:p w:rsidR="00153F08" w:rsidRPr="004D5378" w:rsidRDefault="00B5766B" w:rsidP="0074187B">
            <w:pPr>
              <w:jc w:val="right"/>
              <w:rPr>
                <w:rFonts w:ascii="Arial" w:hAnsi="Arial" w:cs="Arial"/>
                <w:color w:val="000000"/>
                <w:sz w:val="20"/>
                <w:szCs w:val="20"/>
              </w:rPr>
            </w:pPr>
            <w:r>
              <w:rPr>
                <w:rFonts w:ascii="Arial" w:hAnsi="Arial" w:cs="Arial"/>
                <w:color w:val="000000"/>
                <w:sz w:val="20"/>
                <w:szCs w:val="20"/>
              </w:rPr>
              <w:t>7/30/12</w:t>
            </w:r>
          </w:p>
        </w:tc>
        <w:tc>
          <w:tcPr>
            <w:tcW w:w="1440" w:type="dxa"/>
            <w:tcBorders>
              <w:top w:val="nil"/>
              <w:left w:val="nil"/>
              <w:bottom w:val="single" w:sz="4" w:space="0" w:color="C0C0C0"/>
              <w:right w:val="single" w:sz="4" w:space="0" w:color="C0C0C0"/>
            </w:tcBorders>
            <w:shd w:val="clear" w:color="auto" w:fill="auto"/>
          </w:tcPr>
          <w:p w:rsidR="00153F08" w:rsidRPr="00B921A5" w:rsidRDefault="00B5766B" w:rsidP="0074187B">
            <w:pPr>
              <w:jc w:val="center"/>
              <w:rPr>
                <w:rFonts w:ascii="Arial" w:hAnsi="Arial" w:cs="Arial"/>
                <w:sz w:val="20"/>
                <w:szCs w:val="20"/>
              </w:rPr>
            </w:pPr>
            <w:r>
              <w:rPr>
                <w:rFonts w:ascii="Arial" w:hAnsi="Arial" w:cs="Arial"/>
                <w:sz w:val="20"/>
                <w:szCs w:val="20"/>
              </w:rPr>
              <w:t>EXP</w:t>
            </w:r>
          </w:p>
        </w:tc>
        <w:tc>
          <w:tcPr>
            <w:tcW w:w="1440" w:type="dxa"/>
            <w:tcBorders>
              <w:top w:val="nil"/>
              <w:left w:val="nil"/>
              <w:bottom w:val="single" w:sz="4" w:space="0" w:color="C0C0C0"/>
              <w:right w:val="single" w:sz="4" w:space="0" w:color="C0C0C0"/>
            </w:tcBorders>
            <w:shd w:val="clear" w:color="auto" w:fill="auto"/>
          </w:tcPr>
          <w:p w:rsidR="00153F08" w:rsidRPr="004D5378" w:rsidRDefault="00B5766B" w:rsidP="0074187B">
            <w:pPr>
              <w:jc w:val="center"/>
              <w:rPr>
                <w:rFonts w:ascii="Arial" w:hAnsi="Arial" w:cs="Arial"/>
                <w:sz w:val="20"/>
                <w:szCs w:val="20"/>
              </w:rPr>
            </w:pPr>
            <w:r>
              <w:rPr>
                <w:rFonts w:ascii="Arial" w:hAnsi="Arial" w:cs="Arial"/>
                <w:sz w:val="20"/>
                <w:szCs w:val="20"/>
              </w:rPr>
              <w:t xml:space="preserve">22 </w:t>
            </w:r>
            <w:r w:rsidRPr="00B5766B">
              <w:rPr>
                <w:rFonts w:ascii="Arial" w:hAnsi="Arial" w:cs="Arial"/>
                <w:sz w:val="20"/>
                <w:szCs w:val="20"/>
                <w:u w:val="single"/>
              </w:rPr>
              <w:t>+</w:t>
            </w:r>
            <w:r>
              <w:rPr>
                <w:rFonts w:ascii="Arial" w:hAnsi="Arial" w:cs="Arial"/>
                <w:sz w:val="20"/>
                <w:szCs w:val="20"/>
              </w:rPr>
              <w:t xml:space="preserve"> 13.6</w:t>
            </w:r>
          </w:p>
        </w:tc>
      </w:tr>
      <w:tr w:rsidR="00B5766B" w:rsidRPr="004D5378" w:rsidTr="0074187B">
        <w:trPr>
          <w:trHeight w:val="255"/>
        </w:trPr>
        <w:tc>
          <w:tcPr>
            <w:tcW w:w="695" w:type="dxa"/>
            <w:tcBorders>
              <w:top w:val="nil"/>
              <w:left w:val="single" w:sz="4" w:space="0" w:color="C0C0C0"/>
              <w:bottom w:val="single" w:sz="4" w:space="0" w:color="C0C0C0"/>
              <w:right w:val="single" w:sz="4" w:space="0" w:color="C0C0C0"/>
            </w:tcBorders>
            <w:shd w:val="clear" w:color="auto" w:fill="auto"/>
          </w:tcPr>
          <w:p w:rsidR="00B5766B" w:rsidRPr="004D5378" w:rsidRDefault="00B5766B" w:rsidP="0074187B">
            <w:pPr>
              <w:jc w:val="right"/>
              <w:rPr>
                <w:rFonts w:ascii="Arial" w:hAnsi="Arial" w:cs="Arial"/>
                <w:color w:val="000000"/>
                <w:sz w:val="20"/>
                <w:szCs w:val="20"/>
              </w:rPr>
            </w:pPr>
            <w:r>
              <w:rPr>
                <w:rFonts w:ascii="Arial" w:hAnsi="Arial" w:cs="Arial"/>
                <w:color w:val="000000"/>
                <w:sz w:val="20"/>
                <w:szCs w:val="20"/>
              </w:rPr>
              <w:t>2014</w:t>
            </w:r>
          </w:p>
        </w:tc>
        <w:tc>
          <w:tcPr>
            <w:tcW w:w="1150" w:type="dxa"/>
            <w:tcBorders>
              <w:top w:val="nil"/>
              <w:left w:val="nil"/>
              <w:bottom w:val="single" w:sz="4" w:space="0" w:color="C0C0C0"/>
              <w:right w:val="single" w:sz="4" w:space="0" w:color="C0C0C0"/>
            </w:tcBorders>
            <w:shd w:val="clear" w:color="auto" w:fill="auto"/>
          </w:tcPr>
          <w:p w:rsidR="00B5766B" w:rsidRPr="004D5378" w:rsidRDefault="00B5766B" w:rsidP="0074187B">
            <w:pPr>
              <w:rPr>
                <w:rFonts w:ascii="Arial" w:hAnsi="Arial" w:cs="Arial"/>
                <w:color w:val="000000"/>
                <w:sz w:val="20"/>
                <w:szCs w:val="20"/>
              </w:rPr>
            </w:pPr>
            <w:r>
              <w:rPr>
                <w:rFonts w:ascii="Arial" w:hAnsi="Arial" w:cs="Arial"/>
                <w:color w:val="000000"/>
                <w:sz w:val="20"/>
                <w:szCs w:val="20"/>
              </w:rPr>
              <w:t>00UM048</w:t>
            </w:r>
          </w:p>
        </w:tc>
        <w:tc>
          <w:tcPr>
            <w:tcW w:w="883" w:type="dxa"/>
            <w:tcBorders>
              <w:top w:val="nil"/>
              <w:left w:val="nil"/>
              <w:bottom w:val="single" w:sz="4" w:space="0" w:color="C0C0C0"/>
              <w:right w:val="single" w:sz="4" w:space="0" w:color="C0C0C0"/>
            </w:tcBorders>
            <w:shd w:val="clear" w:color="auto" w:fill="auto"/>
          </w:tcPr>
          <w:p w:rsidR="00B5766B" w:rsidRPr="00B921A5" w:rsidRDefault="00B5766B" w:rsidP="0074187B">
            <w:pPr>
              <w:jc w:val="center"/>
              <w:rPr>
                <w:rFonts w:ascii="Arial" w:hAnsi="Arial" w:cs="Arial"/>
                <w:sz w:val="20"/>
                <w:szCs w:val="20"/>
              </w:rPr>
            </w:pPr>
            <w:r>
              <w:rPr>
                <w:rFonts w:ascii="Arial" w:hAnsi="Arial" w:cs="Arial"/>
                <w:sz w:val="20"/>
                <w:szCs w:val="20"/>
              </w:rPr>
              <w:t>23.5</w:t>
            </w:r>
          </w:p>
        </w:tc>
        <w:tc>
          <w:tcPr>
            <w:tcW w:w="1150" w:type="dxa"/>
            <w:tcBorders>
              <w:top w:val="nil"/>
              <w:left w:val="nil"/>
              <w:bottom w:val="single" w:sz="4" w:space="0" w:color="C0C0C0"/>
              <w:right w:val="single" w:sz="4" w:space="0" w:color="C0C0C0"/>
            </w:tcBorders>
            <w:shd w:val="clear" w:color="auto" w:fill="auto"/>
          </w:tcPr>
          <w:p w:rsidR="00B5766B" w:rsidRPr="004D5378" w:rsidRDefault="00B5766B" w:rsidP="0074187B">
            <w:pPr>
              <w:rPr>
                <w:rFonts w:ascii="Arial" w:hAnsi="Arial" w:cs="Arial"/>
                <w:color w:val="000000"/>
                <w:sz w:val="20"/>
                <w:szCs w:val="20"/>
              </w:rPr>
            </w:pPr>
            <w:r>
              <w:rPr>
                <w:rFonts w:ascii="Arial" w:hAnsi="Arial" w:cs="Arial"/>
                <w:color w:val="000000"/>
                <w:sz w:val="20"/>
                <w:szCs w:val="20"/>
              </w:rPr>
              <w:t>Invert IBI</w:t>
            </w:r>
          </w:p>
        </w:tc>
        <w:tc>
          <w:tcPr>
            <w:tcW w:w="1177" w:type="dxa"/>
            <w:tcBorders>
              <w:top w:val="nil"/>
              <w:left w:val="nil"/>
              <w:bottom w:val="single" w:sz="4" w:space="0" w:color="C0C0C0"/>
              <w:right w:val="single" w:sz="4" w:space="0" w:color="C0C0C0"/>
            </w:tcBorders>
            <w:shd w:val="clear" w:color="auto" w:fill="auto"/>
          </w:tcPr>
          <w:p w:rsidR="00B5766B" w:rsidRPr="004D5378" w:rsidRDefault="00B5766B" w:rsidP="0074187B">
            <w:pPr>
              <w:jc w:val="right"/>
              <w:rPr>
                <w:rFonts w:ascii="Arial" w:hAnsi="Arial" w:cs="Arial"/>
                <w:color w:val="000000"/>
                <w:sz w:val="20"/>
                <w:szCs w:val="20"/>
              </w:rPr>
            </w:pPr>
            <w:r>
              <w:rPr>
                <w:rFonts w:ascii="Arial" w:hAnsi="Arial" w:cs="Arial"/>
                <w:color w:val="000000"/>
                <w:sz w:val="20"/>
                <w:szCs w:val="20"/>
              </w:rPr>
              <w:t>7/31/12</w:t>
            </w:r>
          </w:p>
        </w:tc>
        <w:tc>
          <w:tcPr>
            <w:tcW w:w="1440" w:type="dxa"/>
            <w:tcBorders>
              <w:top w:val="nil"/>
              <w:left w:val="nil"/>
              <w:bottom w:val="single" w:sz="4" w:space="0" w:color="C0C0C0"/>
              <w:right w:val="single" w:sz="4" w:space="0" w:color="C0C0C0"/>
            </w:tcBorders>
            <w:shd w:val="clear" w:color="auto" w:fill="auto"/>
          </w:tcPr>
          <w:p w:rsidR="00B5766B" w:rsidRPr="00B921A5" w:rsidRDefault="00B5766B" w:rsidP="0074187B">
            <w:pPr>
              <w:jc w:val="center"/>
              <w:rPr>
                <w:rFonts w:ascii="Arial" w:hAnsi="Arial" w:cs="Arial"/>
                <w:sz w:val="20"/>
                <w:szCs w:val="20"/>
              </w:rPr>
            </w:pPr>
            <w:r>
              <w:rPr>
                <w:rFonts w:ascii="Arial" w:hAnsi="Arial" w:cs="Arial"/>
                <w:sz w:val="20"/>
                <w:szCs w:val="20"/>
              </w:rPr>
              <w:t>EXP</w:t>
            </w:r>
          </w:p>
        </w:tc>
        <w:tc>
          <w:tcPr>
            <w:tcW w:w="1440" w:type="dxa"/>
            <w:tcBorders>
              <w:top w:val="nil"/>
              <w:left w:val="nil"/>
              <w:bottom w:val="single" w:sz="4" w:space="0" w:color="C0C0C0"/>
              <w:right w:val="single" w:sz="4" w:space="0" w:color="C0C0C0"/>
            </w:tcBorders>
            <w:shd w:val="clear" w:color="auto" w:fill="auto"/>
          </w:tcPr>
          <w:p w:rsidR="00B5766B" w:rsidRPr="004D5378" w:rsidRDefault="00B5766B" w:rsidP="0074187B">
            <w:pPr>
              <w:jc w:val="center"/>
              <w:rPr>
                <w:rFonts w:ascii="Arial" w:hAnsi="Arial" w:cs="Arial"/>
                <w:sz w:val="20"/>
                <w:szCs w:val="20"/>
              </w:rPr>
            </w:pPr>
            <w:r>
              <w:rPr>
                <w:rFonts w:ascii="Arial" w:hAnsi="Arial" w:cs="Arial"/>
                <w:sz w:val="20"/>
                <w:szCs w:val="20"/>
              </w:rPr>
              <w:t xml:space="preserve">22 </w:t>
            </w:r>
            <w:r w:rsidRPr="00B5766B">
              <w:rPr>
                <w:rFonts w:ascii="Arial" w:hAnsi="Arial" w:cs="Arial"/>
                <w:sz w:val="20"/>
                <w:szCs w:val="20"/>
                <w:u w:val="single"/>
              </w:rPr>
              <w:t>+</w:t>
            </w:r>
            <w:r>
              <w:rPr>
                <w:rFonts w:ascii="Arial" w:hAnsi="Arial" w:cs="Arial"/>
                <w:sz w:val="20"/>
                <w:szCs w:val="20"/>
              </w:rPr>
              <w:t xml:space="preserve"> 13.6</w:t>
            </w:r>
          </w:p>
        </w:tc>
      </w:tr>
      <w:tr w:rsidR="00B5766B" w:rsidRPr="004D5378" w:rsidTr="0074187B">
        <w:trPr>
          <w:trHeight w:val="255"/>
        </w:trPr>
        <w:tc>
          <w:tcPr>
            <w:tcW w:w="695" w:type="dxa"/>
            <w:tcBorders>
              <w:top w:val="nil"/>
              <w:left w:val="single" w:sz="4" w:space="0" w:color="C0C0C0"/>
              <w:bottom w:val="single" w:sz="4" w:space="0" w:color="C0C0C0"/>
              <w:right w:val="single" w:sz="4" w:space="0" w:color="C0C0C0"/>
            </w:tcBorders>
            <w:shd w:val="clear" w:color="auto" w:fill="auto"/>
          </w:tcPr>
          <w:p w:rsidR="00B5766B" w:rsidRDefault="00B5766B" w:rsidP="0074187B">
            <w:pPr>
              <w:jc w:val="right"/>
              <w:rPr>
                <w:rFonts w:ascii="Arial" w:hAnsi="Arial" w:cs="Arial"/>
                <w:color w:val="000000"/>
                <w:sz w:val="20"/>
                <w:szCs w:val="20"/>
              </w:rPr>
            </w:pPr>
            <w:r>
              <w:rPr>
                <w:rFonts w:ascii="Arial" w:hAnsi="Arial" w:cs="Arial"/>
                <w:color w:val="000000"/>
                <w:sz w:val="20"/>
                <w:szCs w:val="20"/>
              </w:rPr>
              <w:t>2014</w:t>
            </w:r>
          </w:p>
        </w:tc>
        <w:tc>
          <w:tcPr>
            <w:tcW w:w="1150" w:type="dxa"/>
            <w:tcBorders>
              <w:top w:val="nil"/>
              <w:left w:val="nil"/>
              <w:bottom w:val="single" w:sz="4" w:space="0" w:color="C0C0C0"/>
              <w:right w:val="single" w:sz="4" w:space="0" w:color="C0C0C0"/>
            </w:tcBorders>
            <w:shd w:val="clear" w:color="auto" w:fill="auto"/>
          </w:tcPr>
          <w:p w:rsidR="00B5766B" w:rsidRPr="004D5378" w:rsidRDefault="00B5766B" w:rsidP="0074187B">
            <w:pPr>
              <w:rPr>
                <w:rFonts w:ascii="Arial" w:hAnsi="Arial" w:cs="Arial"/>
                <w:color w:val="000000"/>
                <w:sz w:val="20"/>
                <w:szCs w:val="20"/>
              </w:rPr>
            </w:pPr>
            <w:r>
              <w:rPr>
                <w:rFonts w:ascii="Arial" w:hAnsi="Arial" w:cs="Arial"/>
                <w:color w:val="000000"/>
                <w:sz w:val="20"/>
                <w:szCs w:val="20"/>
              </w:rPr>
              <w:t>00UM053</w:t>
            </w:r>
          </w:p>
        </w:tc>
        <w:tc>
          <w:tcPr>
            <w:tcW w:w="883" w:type="dxa"/>
            <w:tcBorders>
              <w:top w:val="nil"/>
              <w:left w:val="nil"/>
              <w:bottom w:val="single" w:sz="4" w:space="0" w:color="C0C0C0"/>
              <w:right w:val="single" w:sz="4" w:space="0" w:color="C0C0C0"/>
            </w:tcBorders>
            <w:shd w:val="clear" w:color="auto" w:fill="auto"/>
          </w:tcPr>
          <w:p w:rsidR="00B5766B" w:rsidRPr="00B921A5" w:rsidRDefault="00B5766B" w:rsidP="0074187B">
            <w:pPr>
              <w:jc w:val="center"/>
              <w:rPr>
                <w:rFonts w:ascii="Arial" w:hAnsi="Arial" w:cs="Arial"/>
                <w:sz w:val="20"/>
                <w:szCs w:val="20"/>
              </w:rPr>
            </w:pPr>
            <w:r>
              <w:rPr>
                <w:rFonts w:ascii="Arial" w:hAnsi="Arial" w:cs="Arial"/>
                <w:sz w:val="20"/>
                <w:szCs w:val="20"/>
              </w:rPr>
              <w:t>37.1</w:t>
            </w:r>
          </w:p>
        </w:tc>
        <w:tc>
          <w:tcPr>
            <w:tcW w:w="1150" w:type="dxa"/>
            <w:tcBorders>
              <w:top w:val="nil"/>
              <w:left w:val="nil"/>
              <w:bottom w:val="single" w:sz="4" w:space="0" w:color="C0C0C0"/>
              <w:right w:val="single" w:sz="4" w:space="0" w:color="C0C0C0"/>
            </w:tcBorders>
            <w:shd w:val="clear" w:color="auto" w:fill="auto"/>
          </w:tcPr>
          <w:p w:rsidR="00B5766B" w:rsidRDefault="00B5766B" w:rsidP="0074187B">
            <w:pPr>
              <w:rPr>
                <w:rFonts w:ascii="Arial" w:hAnsi="Arial" w:cs="Arial"/>
                <w:color w:val="000000"/>
                <w:sz w:val="20"/>
                <w:szCs w:val="20"/>
              </w:rPr>
            </w:pPr>
            <w:r>
              <w:rPr>
                <w:rFonts w:ascii="Arial" w:hAnsi="Arial" w:cs="Arial"/>
                <w:color w:val="000000"/>
                <w:sz w:val="20"/>
                <w:szCs w:val="20"/>
              </w:rPr>
              <w:t>Invert IBI</w:t>
            </w:r>
          </w:p>
        </w:tc>
        <w:tc>
          <w:tcPr>
            <w:tcW w:w="1177" w:type="dxa"/>
            <w:tcBorders>
              <w:top w:val="nil"/>
              <w:left w:val="nil"/>
              <w:bottom w:val="single" w:sz="4" w:space="0" w:color="C0C0C0"/>
              <w:right w:val="single" w:sz="4" w:space="0" w:color="C0C0C0"/>
            </w:tcBorders>
            <w:shd w:val="clear" w:color="auto" w:fill="auto"/>
          </w:tcPr>
          <w:p w:rsidR="00B5766B" w:rsidRPr="004D5378" w:rsidRDefault="00B5766B" w:rsidP="0074187B">
            <w:pPr>
              <w:jc w:val="right"/>
              <w:rPr>
                <w:rFonts w:ascii="Arial" w:hAnsi="Arial" w:cs="Arial"/>
                <w:color w:val="000000"/>
                <w:sz w:val="20"/>
                <w:szCs w:val="20"/>
              </w:rPr>
            </w:pPr>
            <w:r>
              <w:rPr>
                <w:rFonts w:ascii="Arial" w:hAnsi="Arial" w:cs="Arial"/>
                <w:color w:val="000000"/>
                <w:sz w:val="20"/>
                <w:szCs w:val="20"/>
              </w:rPr>
              <w:t>7/31/12</w:t>
            </w:r>
          </w:p>
        </w:tc>
        <w:tc>
          <w:tcPr>
            <w:tcW w:w="1440" w:type="dxa"/>
            <w:tcBorders>
              <w:top w:val="nil"/>
              <w:left w:val="nil"/>
              <w:bottom w:val="single" w:sz="4" w:space="0" w:color="C0C0C0"/>
              <w:right w:val="single" w:sz="4" w:space="0" w:color="C0C0C0"/>
            </w:tcBorders>
            <w:shd w:val="clear" w:color="auto" w:fill="auto"/>
          </w:tcPr>
          <w:p w:rsidR="00B5766B" w:rsidRPr="00B921A5" w:rsidRDefault="00B5766B" w:rsidP="0074187B">
            <w:pPr>
              <w:jc w:val="center"/>
              <w:rPr>
                <w:rFonts w:ascii="Arial" w:hAnsi="Arial" w:cs="Arial"/>
                <w:sz w:val="20"/>
                <w:szCs w:val="20"/>
              </w:rPr>
            </w:pPr>
            <w:r>
              <w:rPr>
                <w:rFonts w:ascii="Arial" w:hAnsi="Arial" w:cs="Arial"/>
                <w:sz w:val="20"/>
                <w:szCs w:val="20"/>
              </w:rPr>
              <w:t>MTS</w:t>
            </w:r>
          </w:p>
        </w:tc>
        <w:tc>
          <w:tcPr>
            <w:tcW w:w="1440" w:type="dxa"/>
            <w:tcBorders>
              <w:top w:val="nil"/>
              <w:left w:val="nil"/>
              <w:bottom w:val="single" w:sz="4" w:space="0" w:color="C0C0C0"/>
              <w:right w:val="single" w:sz="4" w:space="0" w:color="C0C0C0"/>
            </w:tcBorders>
            <w:shd w:val="clear" w:color="auto" w:fill="auto"/>
          </w:tcPr>
          <w:p w:rsidR="00B5766B" w:rsidRPr="004D5378" w:rsidRDefault="00B5766B" w:rsidP="0074187B">
            <w:pPr>
              <w:jc w:val="center"/>
              <w:rPr>
                <w:rFonts w:ascii="Arial" w:hAnsi="Arial" w:cs="Arial"/>
                <w:sz w:val="20"/>
                <w:szCs w:val="20"/>
              </w:rPr>
            </w:pPr>
            <w:r>
              <w:rPr>
                <w:rFonts w:ascii="Arial" w:hAnsi="Arial" w:cs="Arial"/>
                <w:sz w:val="20"/>
                <w:szCs w:val="20"/>
              </w:rPr>
              <w:t xml:space="preserve">22 </w:t>
            </w:r>
            <w:r w:rsidRPr="00B5766B">
              <w:rPr>
                <w:rFonts w:ascii="Arial" w:hAnsi="Arial" w:cs="Arial"/>
                <w:sz w:val="20"/>
                <w:szCs w:val="20"/>
                <w:u w:val="single"/>
              </w:rPr>
              <w:t>+</w:t>
            </w:r>
            <w:r>
              <w:rPr>
                <w:rFonts w:ascii="Arial" w:hAnsi="Arial" w:cs="Arial"/>
                <w:sz w:val="20"/>
                <w:szCs w:val="20"/>
              </w:rPr>
              <w:t xml:space="preserve"> 13.6</w:t>
            </w:r>
          </w:p>
        </w:tc>
      </w:tr>
      <w:tr w:rsidR="00B5766B" w:rsidRPr="004D5378" w:rsidTr="0074187B">
        <w:trPr>
          <w:trHeight w:val="255"/>
        </w:trPr>
        <w:tc>
          <w:tcPr>
            <w:tcW w:w="695" w:type="dxa"/>
            <w:tcBorders>
              <w:top w:val="nil"/>
              <w:left w:val="single" w:sz="4" w:space="0" w:color="C0C0C0"/>
              <w:bottom w:val="single" w:sz="4" w:space="0" w:color="C0C0C0"/>
              <w:right w:val="single" w:sz="4" w:space="0" w:color="C0C0C0"/>
            </w:tcBorders>
            <w:shd w:val="clear" w:color="auto" w:fill="auto"/>
          </w:tcPr>
          <w:p w:rsidR="00B5766B" w:rsidRPr="004D5378" w:rsidRDefault="00B5766B" w:rsidP="0074187B">
            <w:pPr>
              <w:jc w:val="right"/>
              <w:rPr>
                <w:rFonts w:ascii="Arial" w:hAnsi="Arial" w:cs="Arial"/>
                <w:color w:val="000000"/>
                <w:sz w:val="20"/>
                <w:szCs w:val="20"/>
              </w:rPr>
            </w:pPr>
            <w:r>
              <w:rPr>
                <w:rFonts w:ascii="Arial" w:hAnsi="Arial" w:cs="Arial"/>
                <w:color w:val="000000"/>
                <w:sz w:val="20"/>
                <w:szCs w:val="20"/>
              </w:rPr>
              <w:t>2014</w:t>
            </w:r>
          </w:p>
        </w:tc>
        <w:tc>
          <w:tcPr>
            <w:tcW w:w="1150" w:type="dxa"/>
            <w:tcBorders>
              <w:top w:val="nil"/>
              <w:left w:val="nil"/>
              <w:bottom w:val="single" w:sz="4" w:space="0" w:color="C0C0C0"/>
              <w:right w:val="single" w:sz="4" w:space="0" w:color="C0C0C0"/>
            </w:tcBorders>
            <w:shd w:val="clear" w:color="auto" w:fill="auto"/>
          </w:tcPr>
          <w:p w:rsidR="00B5766B" w:rsidRPr="004D5378" w:rsidRDefault="00B5766B" w:rsidP="0074187B">
            <w:pPr>
              <w:rPr>
                <w:rFonts w:ascii="Arial" w:hAnsi="Arial" w:cs="Arial"/>
                <w:color w:val="000000"/>
                <w:sz w:val="20"/>
                <w:szCs w:val="20"/>
              </w:rPr>
            </w:pPr>
            <w:r>
              <w:rPr>
                <w:rFonts w:ascii="Arial" w:hAnsi="Arial" w:cs="Arial"/>
                <w:color w:val="000000"/>
                <w:sz w:val="20"/>
                <w:szCs w:val="20"/>
              </w:rPr>
              <w:t>12UM058</w:t>
            </w:r>
          </w:p>
        </w:tc>
        <w:tc>
          <w:tcPr>
            <w:tcW w:w="883" w:type="dxa"/>
            <w:tcBorders>
              <w:top w:val="nil"/>
              <w:left w:val="nil"/>
              <w:bottom w:val="single" w:sz="4" w:space="0" w:color="C0C0C0"/>
              <w:right w:val="single" w:sz="4" w:space="0" w:color="C0C0C0"/>
            </w:tcBorders>
            <w:shd w:val="clear" w:color="auto" w:fill="auto"/>
          </w:tcPr>
          <w:p w:rsidR="00B5766B" w:rsidRPr="00B921A5" w:rsidRDefault="00B5766B" w:rsidP="0074187B">
            <w:pPr>
              <w:jc w:val="center"/>
              <w:rPr>
                <w:rFonts w:ascii="Arial" w:hAnsi="Arial" w:cs="Arial"/>
                <w:sz w:val="20"/>
                <w:szCs w:val="20"/>
              </w:rPr>
            </w:pPr>
            <w:r>
              <w:rPr>
                <w:rFonts w:ascii="Arial" w:hAnsi="Arial" w:cs="Arial"/>
                <w:sz w:val="20"/>
                <w:szCs w:val="20"/>
              </w:rPr>
              <w:t>41.2</w:t>
            </w:r>
          </w:p>
        </w:tc>
        <w:tc>
          <w:tcPr>
            <w:tcW w:w="1150" w:type="dxa"/>
            <w:tcBorders>
              <w:top w:val="nil"/>
              <w:left w:val="nil"/>
              <w:bottom w:val="single" w:sz="4" w:space="0" w:color="C0C0C0"/>
              <w:right w:val="single" w:sz="4" w:space="0" w:color="C0C0C0"/>
            </w:tcBorders>
            <w:shd w:val="clear" w:color="auto" w:fill="auto"/>
          </w:tcPr>
          <w:p w:rsidR="00B5766B" w:rsidRPr="004D5378" w:rsidRDefault="00B5766B" w:rsidP="0074187B">
            <w:pPr>
              <w:rPr>
                <w:rFonts w:ascii="Arial" w:hAnsi="Arial" w:cs="Arial"/>
                <w:color w:val="000000"/>
                <w:sz w:val="20"/>
                <w:szCs w:val="20"/>
              </w:rPr>
            </w:pPr>
            <w:r>
              <w:rPr>
                <w:rFonts w:ascii="Arial" w:hAnsi="Arial" w:cs="Arial"/>
                <w:color w:val="000000"/>
                <w:sz w:val="20"/>
                <w:szCs w:val="20"/>
              </w:rPr>
              <w:t>Invert IBI</w:t>
            </w:r>
          </w:p>
        </w:tc>
        <w:tc>
          <w:tcPr>
            <w:tcW w:w="1177" w:type="dxa"/>
            <w:tcBorders>
              <w:top w:val="nil"/>
              <w:left w:val="nil"/>
              <w:bottom w:val="single" w:sz="4" w:space="0" w:color="C0C0C0"/>
              <w:right w:val="single" w:sz="4" w:space="0" w:color="C0C0C0"/>
            </w:tcBorders>
            <w:shd w:val="clear" w:color="auto" w:fill="auto"/>
          </w:tcPr>
          <w:p w:rsidR="00B5766B" w:rsidRPr="004D5378" w:rsidRDefault="00B5766B" w:rsidP="0074187B">
            <w:pPr>
              <w:jc w:val="right"/>
              <w:rPr>
                <w:rFonts w:ascii="Arial" w:hAnsi="Arial" w:cs="Arial"/>
                <w:color w:val="000000"/>
                <w:sz w:val="20"/>
                <w:szCs w:val="20"/>
              </w:rPr>
            </w:pPr>
            <w:r>
              <w:rPr>
                <w:rFonts w:ascii="Arial" w:hAnsi="Arial" w:cs="Arial"/>
                <w:color w:val="000000"/>
                <w:sz w:val="20"/>
                <w:szCs w:val="20"/>
              </w:rPr>
              <w:t>7/31/12</w:t>
            </w:r>
          </w:p>
        </w:tc>
        <w:tc>
          <w:tcPr>
            <w:tcW w:w="1440" w:type="dxa"/>
            <w:tcBorders>
              <w:top w:val="nil"/>
              <w:left w:val="nil"/>
              <w:bottom w:val="single" w:sz="4" w:space="0" w:color="C0C0C0"/>
              <w:right w:val="single" w:sz="4" w:space="0" w:color="C0C0C0"/>
            </w:tcBorders>
            <w:shd w:val="clear" w:color="auto" w:fill="auto"/>
          </w:tcPr>
          <w:p w:rsidR="00B5766B" w:rsidRPr="00B921A5" w:rsidRDefault="00B5766B" w:rsidP="0074187B">
            <w:pPr>
              <w:jc w:val="center"/>
              <w:rPr>
                <w:rFonts w:ascii="Arial" w:hAnsi="Arial" w:cs="Arial"/>
                <w:sz w:val="20"/>
                <w:szCs w:val="20"/>
              </w:rPr>
            </w:pPr>
            <w:r>
              <w:rPr>
                <w:rFonts w:ascii="Arial" w:hAnsi="Arial" w:cs="Arial"/>
                <w:sz w:val="20"/>
                <w:szCs w:val="20"/>
              </w:rPr>
              <w:t>MTS</w:t>
            </w:r>
          </w:p>
        </w:tc>
        <w:tc>
          <w:tcPr>
            <w:tcW w:w="1440" w:type="dxa"/>
            <w:tcBorders>
              <w:top w:val="nil"/>
              <w:left w:val="nil"/>
              <w:bottom w:val="single" w:sz="4" w:space="0" w:color="C0C0C0"/>
              <w:right w:val="single" w:sz="4" w:space="0" w:color="C0C0C0"/>
            </w:tcBorders>
            <w:shd w:val="clear" w:color="auto" w:fill="auto"/>
          </w:tcPr>
          <w:p w:rsidR="00B5766B" w:rsidRPr="004D5378" w:rsidRDefault="00B5766B" w:rsidP="0074187B">
            <w:pPr>
              <w:jc w:val="center"/>
              <w:rPr>
                <w:rFonts w:ascii="Arial" w:hAnsi="Arial" w:cs="Arial"/>
                <w:sz w:val="20"/>
                <w:szCs w:val="20"/>
              </w:rPr>
            </w:pPr>
            <w:r>
              <w:rPr>
                <w:rFonts w:ascii="Arial" w:hAnsi="Arial" w:cs="Arial"/>
                <w:sz w:val="20"/>
                <w:szCs w:val="20"/>
              </w:rPr>
              <w:t xml:space="preserve">22 </w:t>
            </w:r>
            <w:r w:rsidRPr="00B5766B">
              <w:rPr>
                <w:rFonts w:ascii="Arial" w:hAnsi="Arial" w:cs="Arial"/>
                <w:sz w:val="20"/>
                <w:szCs w:val="20"/>
                <w:u w:val="single"/>
              </w:rPr>
              <w:t>+</w:t>
            </w:r>
            <w:r>
              <w:rPr>
                <w:rFonts w:ascii="Arial" w:hAnsi="Arial" w:cs="Arial"/>
                <w:sz w:val="20"/>
                <w:szCs w:val="20"/>
              </w:rPr>
              <w:t xml:space="preserve"> 13.6</w:t>
            </w:r>
          </w:p>
        </w:tc>
      </w:tr>
    </w:tbl>
    <w:p w:rsidR="00153F08" w:rsidRDefault="00153F08" w:rsidP="00153F08">
      <w:pPr>
        <w:rPr>
          <w:b/>
          <w:sz w:val="22"/>
          <w:szCs w:val="22"/>
        </w:rPr>
      </w:pPr>
    </w:p>
    <w:p w:rsidR="00153F08" w:rsidRDefault="00153F08" w:rsidP="00153F08">
      <w:pPr>
        <w:rPr>
          <w:b/>
          <w:sz w:val="22"/>
          <w:szCs w:val="22"/>
        </w:rPr>
      </w:pPr>
    </w:p>
    <w:p w:rsidR="00153F08" w:rsidRDefault="00153F08" w:rsidP="00153F08">
      <w:pPr>
        <w:rPr>
          <w:b/>
          <w:sz w:val="22"/>
          <w:szCs w:val="22"/>
        </w:rPr>
      </w:pPr>
      <w:r>
        <w:rPr>
          <w:b/>
          <w:sz w:val="22"/>
          <w:szCs w:val="22"/>
        </w:rPr>
        <w:t>Original Listing data rescored with new criteria:</w:t>
      </w:r>
    </w:p>
    <w:p w:rsidR="00153F08" w:rsidRPr="007017AC" w:rsidRDefault="00153F08" w:rsidP="00153F08">
      <w:pPr>
        <w:rPr>
          <w:b/>
          <w:sz w:val="16"/>
          <w:szCs w:val="16"/>
        </w:rPr>
      </w:pPr>
    </w:p>
    <w:tbl>
      <w:tblPr>
        <w:tblW w:w="7935" w:type="dxa"/>
        <w:tblInd w:w="93" w:type="dxa"/>
        <w:tblLook w:val="0000" w:firstRow="0" w:lastRow="0" w:firstColumn="0" w:lastColumn="0" w:noHBand="0" w:noVBand="0"/>
      </w:tblPr>
      <w:tblGrid>
        <w:gridCol w:w="661"/>
        <w:gridCol w:w="1150"/>
        <w:gridCol w:w="883"/>
        <w:gridCol w:w="1150"/>
        <w:gridCol w:w="995"/>
        <w:gridCol w:w="1306"/>
        <w:gridCol w:w="1790"/>
      </w:tblGrid>
      <w:tr w:rsidR="00153F08" w:rsidRPr="00970B55" w:rsidTr="0074187B">
        <w:trPr>
          <w:trHeight w:val="510"/>
        </w:trPr>
        <w:tc>
          <w:tcPr>
            <w:tcW w:w="661" w:type="dxa"/>
            <w:tcBorders>
              <w:top w:val="single" w:sz="4" w:space="0" w:color="000000"/>
              <w:left w:val="single" w:sz="4" w:space="0" w:color="000000"/>
              <w:bottom w:val="single" w:sz="4" w:space="0" w:color="000000"/>
              <w:right w:val="single" w:sz="4" w:space="0" w:color="000000"/>
            </w:tcBorders>
            <w:shd w:val="clear" w:color="000000" w:fill="C0C0C0"/>
          </w:tcPr>
          <w:p w:rsidR="00153F08" w:rsidRPr="00970B55" w:rsidRDefault="00153F08" w:rsidP="0074187B">
            <w:pPr>
              <w:jc w:val="center"/>
              <w:rPr>
                <w:rFonts w:ascii="Arial" w:hAnsi="Arial" w:cs="Arial"/>
                <w:color w:val="000000"/>
                <w:sz w:val="20"/>
                <w:szCs w:val="20"/>
              </w:rPr>
            </w:pPr>
            <w:r>
              <w:rPr>
                <w:rFonts w:ascii="Arial" w:hAnsi="Arial" w:cs="Arial"/>
                <w:color w:val="000000"/>
                <w:sz w:val="20"/>
                <w:szCs w:val="20"/>
              </w:rPr>
              <w:t>List Year</w:t>
            </w:r>
          </w:p>
        </w:tc>
        <w:tc>
          <w:tcPr>
            <w:tcW w:w="1150" w:type="dxa"/>
            <w:tcBorders>
              <w:top w:val="single" w:sz="4" w:space="0" w:color="000000"/>
              <w:left w:val="nil"/>
              <w:bottom w:val="single" w:sz="4" w:space="0" w:color="000000"/>
              <w:right w:val="single" w:sz="4" w:space="0" w:color="000000"/>
            </w:tcBorders>
            <w:shd w:val="clear" w:color="000000" w:fill="C0C0C0"/>
          </w:tcPr>
          <w:p w:rsidR="00153F08" w:rsidRPr="00970B55" w:rsidRDefault="00153F08" w:rsidP="0074187B">
            <w:pPr>
              <w:jc w:val="center"/>
              <w:rPr>
                <w:rFonts w:ascii="Arial" w:hAnsi="Arial" w:cs="Arial"/>
                <w:color w:val="000000"/>
                <w:sz w:val="20"/>
                <w:szCs w:val="20"/>
              </w:rPr>
            </w:pPr>
            <w:proofErr w:type="spellStart"/>
            <w:r w:rsidRPr="00970B55">
              <w:rPr>
                <w:rFonts w:ascii="Arial" w:hAnsi="Arial" w:cs="Arial"/>
                <w:color w:val="000000"/>
                <w:sz w:val="20"/>
                <w:szCs w:val="20"/>
              </w:rPr>
              <w:t>Station_ID</w:t>
            </w:r>
            <w:proofErr w:type="spellEnd"/>
          </w:p>
        </w:tc>
        <w:tc>
          <w:tcPr>
            <w:tcW w:w="883" w:type="dxa"/>
            <w:tcBorders>
              <w:top w:val="single" w:sz="4" w:space="0" w:color="000000"/>
              <w:left w:val="nil"/>
              <w:bottom w:val="single" w:sz="4" w:space="0" w:color="000000"/>
              <w:right w:val="single" w:sz="4" w:space="0" w:color="000000"/>
            </w:tcBorders>
            <w:shd w:val="clear" w:color="000000" w:fill="C0C0C0"/>
          </w:tcPr>
          <w:p w:rsidR="00153F08" w:rsidRPr="00970B55" w:rsidRDefault="00153F08" w:rsidP="0074187B">
            <w:pPr>
              <w:jc w:val="center"/>
              <w:rPr>
                <w:rFonts w:ascii="Arial" w:hAnsi="Arial" w:cs="Arial"/>
                <w:color w:val="0000FF"/>
                <w:sz w:val="20"/>
                <w:szCs w:val="20"/>
              </w:rPr>
            </w:pPr>
            <w:r w:rsidRPr="00970B55">
              <w:rPr>
                <w:rFonts w:ascii="Arial" w:hAnsi="Arial" w:cs="Arial"/>
                <w:color w:val="0000FF"/>
                <w:sz w:val="20"/>
                <w:szCs w:val="20"/>
              </w:rPr>
              <w:t>Results</w:t>
            </w:r>
          </w:p>
        </w:tc>
        <w:tc>
          <w:tcPr>
            <w:tcW w:w="1150" w:type="dxa"/>
            <w:tcBorders>
              <w:top w:val="single" w:sz="4" w:space="0" w:color="000000"/>
              <w:left w:val="nil"/>
              <w:bottom w:val="single" w:sz="4" w:space="0" w:color="000000"/>
              <w:right w:val="single" w:sz="4" w:space="0" w:color="000000"/>
            </w:tcBorders>
            <w:shd w:val="clear" w:color="000000" w:fill="C0C0C0"/>
          </w:tcPr>
          <w:p w:rsidR="00153F08" w:rsidRPr="00970B55" w:rsidRDefault="00153F08" w:rsidP="0074187B">
            <w:pPr>
              <w:jc w:val="center"/>
              <w:rPr>
                <w:rFonts w:ascii="Arial" w:hAnsi="Arial" w:cs="Arial"/>
                <w:color w:val="000000"/>
                <w:sz w:val="20"/>
                <w:szCs w:val="20"/>
              </w:rPr>
            </w:pPr>
            <w:r w:rsidRPr="00970B55">
              <w:rPr>
                <w:rFonts w:ascii="Arial" w:hAnsi="Arial" w:cs="Arial"/>
                <w:color w:val="000000"/>
                <w:sz w:val="20"/>
                <w:szCs w:val="20"/>
              </w:rPr>
              <w:t>Parameter Name</w:t>
            </w:r>
          </w:p>
        </w:tc>
        <w:tc>
          <w:tcPr>
            <w:tcW w:w="995" w:type="dxa"/>
            <w:tcBorders>
              <w:top w:val="single" w:sz="4" w:space="0" w:color="000000"/>
              <w:left w:val="nil"/>
              <w:bottom w:val="single" w:sz="4" w:space="0" w:color="000000"/>
              <w:right w:val="single" w:sz="4" w:space="0" w:color="000000"/>
            </w:tcBorders>
            <w:shd w:val="clear" w:color="000000" w:fill="C0C0C0"/>
          </w:tcPr>
          <w:p w:rsidR="00153F08" w:rsidRPr="00970B55" w:rsidRDefault="00153F08" w:rsidP="0074187B">
            <w:pPr>
              <w:jc w:val="center"/>
              <w:rPr>
                <w:rFonts w:ascii="Arial" w:hAnsi="Arial" w:cs="Arial"/>
                <w:color w:val="000000"/>
                <w:sz w:val="20"/>
                <w:szCs w:val="20"/>
              </w:rPr>
            </w:pPr>
            <w:r w:rsidRPr="00970B55">
              <w:rPr>
                <w:rFonts w:ascii="Arial" w:hAnsi="Arial" w:cs="Arial"/>
                <w:color w:val="000000"/>
                <w:sz w:val="20"/>
                <w:szCs w:val="20"/>
              </w:rPr>
              <w:t>Date</w:t>
            </w:r>
          </w:p>
        </w:tc>
        <w:tc>
          <w:tcPr>
            <w:tcW w:w="1306" w:type="dxa"/>
            <w:tcBorders>
              <w:top w:val="single" w:sz="4" w:space="0" w:color="000000"/>
              <w:left w:val="nil"/>
              <w:bottom w:val="single" w:sz="4" w:space="0" w:color="000000"/>
              <w:right w:val="single" w:sz="4" w:space="0" w:color="000000"/>
            </w:tcBorders>
            <w:shd w:val="clear" w:color="000000" w:fill="C0C0C0"/>
          </w:tcPr>
          <w:p w:rsidR="00153F08" w:rsidRPr="00970B55" w:rsidRDefault="00153F08" w:rsidP="0074187B">
            <w:pPr>
              <w:jc w:val="center"/>
              <w:rPr>
                <w:rFonts w:ascii="Arial" w:hAnsi="Arial" w:cs="Arial"/>
                <w:color w:val="000000"/>
                <w:sz w:val="20"/>
                <w:szCs w:val="20"/>
              </w:rPr>
            </w:pPr>
            <w:r>
              <w:rPr>
                <w:rFonts w:ascii="Arial" w:hAnsi="Arial" w:cs="Arial"/>
                <w:color w:val="000000"/>
                <w:sz w:val="20"/>
                <w:szCs w:val="20"/>
              </w:rPr>
              <w:t>Assessment</w:t>
            </w:r>
          </w:p>
        </w:tc>
        <w:tc>
          <w:tcPr>
            <w:tcW w:w="1790" w:type="dxa"/>
            <w:tcBorders>
              <w:top w:val="single" w:sz="4" w:space="0" w:color="000000"/>
              <w:left w:val="nil"/>
              <w:bottom w:val="single" w:sz="4" w:space="0" w:color="000000"/>
              <w:right w:val="single" w:sz="4" w:space="0" w:color="000000"/>
            </w:tcBorders>
            <w:shd w:val="clear" w:color="000000" w:fill="C0C0C0"/>
          </w:tcPr>
          <w:p w:rsidR="00153F08" w:rsidRPr="00970B55" w:rsidRDefault="00153F08" w:rsidP="0074187B">
            <w:pPr>
              <w:jc w:val="center"/>
              <w:rPr>
                <w:rFonts w:ascii="Arial" w:hAnsi="Arial" w:cs="Arial"/>
                <w:color w:val="000000"/>
                <w:sz w:val="20"/>
                <w:szCs w:val="20"/>
              </w:rPr>
            </w:pPr>
            <w:r w:rsidRPr="00970B55">
              <w:rPr>
                <w:rFonts w:ascii="Arial" w:hAnsi="Arial" w:cs="Arial"/>
                <w:color w:val="000000"/>
                <w:sz w:val="20"/>
                <w:szCs w:val="20"/>
              </w:rPr>
              <w:t>C</w:t>
            </w:r>
            <w:r>
              <w:rPr>
                <w:rFonts w:ascii="Arial" w:hAnsi="Arial" w:cs="Arial"/>
                <w:color w:val="000000"/>
                <w:sz w:val="20"/>
                <w:szCs w:val="20"/>
              </w:rPr>
              <w:t>h</w:t>
            </w:r>
            <w:r w:rsidRPr="00970B55">
              <w:rPr>
                <w:rFonts w:ascii="Arial" w:hAnsi="Arial" w:cs="Arial"/>
                <w:color w:val="000000"/>
                <w:sz w:val="20"/>
                <w:szCs w:val="20"/>
              </w:rPr>
              <w:t xml:space="preserve">ronic </w:t>
            </w:r>
            <w:proofErr w:type="spellStart"/>
            <w:r w:rsidRPr="00970B55">
              <w:rPr>
                <w:rFonts w:ascii="Arial" w:hAnsi="Arial" w:cs="Arial"/>
                <w:color w:val="000000"/>
                <w:sz w:val="20"/>
                <w:szCs w:val="20"/>
              </w:rPr>
              <w:t>Std</w:t>
            </w:r>
            <w:proofErr w:type="spellEnd"/>
          </w:p>
        </w:tc>
      </w:tr>
      <w:tr w:rsidR="00B5766B" w:rsidRPr="00970B55" w:rsidTr="0074187B">
        <w:trPr>
          <w:trHeight w:val="255"/>
        </w:trPr>
        <w:tc>
          <w:tcPr>
            <w:tcW w:w="661" w:type="dxa"/>
            <w:tcBorders>
              <w:top w:val="single" w:sz="4" w:space="0" w:color="C0C0C0"/>
              <w:left w:val="single" w:sz="4" w:space="0" w:color="C0C0C0"/>
              <w:bottom w:val="single" w:sz="4" w:space="0" w:color="C0C0C0"/>
              <w:right w:val="single" w:sz="4" w:space="0" w:color="C0C0C0"/>
            </w:tcBorders>
            <w:shd w:val="clear" w:color="auto" w:fill="auto"/>
          </w:tcPr>
          <w:p w:rsidR="00B5766B" w:rsidRPr="004D5378" w:rsidRDefault="00B5766B" w:rsidP="0074187B">
            <w:pPr>
              <w:jc w:val="right"/>
              <w:rPr>
                <w:rFonts w:ascii="Arial" w:hAnsi="Arial" w:cs="Arial"/>
                <w:color w:val="000000"/>
                <w:sz w:val="20"/>
                <w:szCs w:val="20"/>
              </w:rPr>
            </w:pPr>
            <w:r>
              <w:rPr>
                <w:rFonts w:ascii="Arial" w:hAnsi="Arial" w:cs="Arial"/>
                <w:color w:val="000000"/>
                <w:sz w:val="20"/>
                <w:szCs w:val="20"/>
              </w:rPr>
              <w:t>2012</w:t>
            </w:r>
          </w:p>
        </w:tc>
        <w:tc>
          <w:tcPr>
            <w:tcW w:w="1150" w:type="dxa"/>
            <w:tcBorders>
              <w:top w:val="single" w:sz="4" w:space="0" w:color="C0C0C0"/>
              <w:left w:val="nil"/>
              <w:bottom w:val="single" w:sz="4" w:space="0" w:color="C0C0C0"/>
              <w:right w:val="single" w:sz="4" w:space="0" w:color="C0C0C0"/>
            </w:tcBorders>
            <w:shd w:val="clear" w:color="auto" w:fill="auto"/>
          </w:tcPr>
          <w:p w:rsidR="00B5766B" w:rsidRPr="004D5378" w:rsidRDefault="00B5766B" w:rsidP="0074187B">
            <w:pPr>
              <w:rPr>
                <w:rFonts w:ascii="Arial" w:hAnsi="Arial" w:cs="Arial"/>
                <w:color w:val="000000"/>
                <w:sz w:val="20"/>
                <w:szCs w:val="20"/>
              </w:rPr>
            </w:pPr>
            <w:r>
              <w:rPr>
                <w:rFonts w:ascii="Arial" w:hAnsi="Arial" w:cs="Arial"/>
                <w:color w:val="000000"/>
                <w:sz w:val="20"/>
                <w:szCs w:val="20"/>
              </w:rPr>
              <w:t>00UM048</w:t>
            </w:r>
          </w:p>
        </w:tc>
        <w:tc>
          <w:tcPr>
            <w:tcW w:w="883" w:type="dxa"/>
            <w:tcBorders>
              <w:top w:val="single" w:sz="4" w:space="0" w:color="C0C0C0"/>
              <w:left w:val="nil"/>
              <w:bottom w:val="single" w:sz="4" w:space="0" w:color="C0C0C0"/>
              <w:right w:val="single" w:sz="4" w:space="0" w:color="C0C0C0"/>
            </w:tcBorders>
            <w:shd w:val="clear" w:color="auto" w:fill="auto"/>
          </w:tcPr>
          <w:p w:rsidR="00B5766B" w:rsidRPr="00B921A5" w:rsidRDefault="00B5766B" w:rsidP="0074187B">
            <w:pPr>
              <w:jc w:val="center"/>
              <w:rPr>
                <w:rFonts w:ascii="Arial" w:hAnsi="Arial" w:cs="Arial"/>
                <w:sz w:val="20"/>
                <w:szCs w:val="20"/>
              </w:rPr>
            </w:pPr>
            <w:r>
              <w:rPr>
                <w:rFonts w:ascii="Arial" w:hAnsi="Arial" w:cs="Arial"/>
                <w:sz w:val="20"/>
                <w:szCs w:val="20"/>
              </w:rPr>
              <w:t>19.0</w:t>
            </w:r>
          </w:p>
        </w:tc>
        <w:tc>
          <w:tcPr>
            <w:tcW w:w="1150" w:type="dxa"/>
            <w:tcBorders>
              <w:top w:val="single" w:sz="4" w:space="0" w:color="C0C0C0"/>
              <w:left w:val="nil"/>
              <w:bottom w:val="single" w:sz="4" w:space="0" w:color="C0C0C0"/>
              <w:right w:val="single" w:sz="4" w:space="0" w:color="C0C0C0"/>
            </w:tcBorders>
            <w:shd w:val="clear" w:color="auto" w:fill="auto"/>
          </w:tcPr>
          <w:p w:rsidR="00B5766B" w:rsidRPr="004D5378" w:rsidRDefault="00B5766B" w:rsidP="0074187B">
            <w:pPr>
              <w:rPr>
                <w:rFonts w:ascii="Arial" w:hAnsi="Arial" w:cs="Arial"/>
                <w:color w:val="000000"/>
                <w:sz w:val="20"/>
                <w:szCs w:val="20"/>
              </w:rPr>
            </w:pPr>
            <w:r>
              <w:rPr>
                <w:rFonts w:ascii="Arial" w:hAnsi="Arial" w:cs="Arial"/>
                <w:color w:val="000000"/>
                <w:sz w:val="20"/>
                <w:szCs w:val="20"/>
              </w:rPr>
              <w:t>Invert IBI</w:t>
            </w:r>
          </w:p>
        </w:tc>
        <w:tc>
          <w:tcPr>
            <w:tcW w:w="995" w:type="dxa"/>
            <w:tcBorders>
              <w:top w:val="single" w:sz="4" w:space="0" w:color="C0C0C0"/>
              <w:left w:val="nil"/>
              <w:bottom w:val="single" w:sz="4" w:space="0" w:color="C0C0C0"/>
              <w:right w:val="single" w:sz="4" w:space="0" w:color="C0C0C0"/>
            </w:tcBorders>
            <w:shd w:val="clear" w:color="auto" w:fill="auto"/>
          </w:tcPr>
          <w:p w:rsidR="00B5766B" w:rsidRPr="004D5378" w:rsidRDefault="00B5766B" w:rsidP="0074187B">
            <w:pPr>
              <w:jc w:val="right"/>
              <w:rPr>
                <w:rFonts w:ascii="Arial" w:hAnsi="Arial" w:cs="Arial"/>
                <w:color w:val="000000"/>
                <w:sz w:val="20"/>
                <w:szCs w:val="20"/>
              </w:rPr>
            </w:pPr>
            <w:r>
              <w:rPr>
                <w:rFonts w:ascii="Arial" w:hAnsi="Arial" w:cs="Arial"/>
                <w:color w:val="000000"/>
                <w:sz w:val="20"/>
                <w:szCs w:val="20"/>
              </w:rPr>
              <w:t>9/20/00</w:t>
            </w:r>
          </w:p>
        </w:tc>
        <w:tc>
          <w:tcPr>
            <w:tcW w:w="1306" w:type="dxa"/>
            <w:tcBorders>
              <w:top w:val="single" w:sz="4" w:space="0" w:color="C0C0C0"/>
              <w:left w:val="nil"/>
              <w:bottom w:val="single" w:sz="4" w:space="0" w:color="C0C0C0"/>
              <w:right w:val="single" w:sz="4" w:space="0" w:color="C0C0C0"/>
            </w:tcBorders>
            <w:shd w:val="clear" w:color="auto" w:fill="auto"/>
          </w:tcPr>
          <w:p w:rsidR="00B5766B" w:rsidRPr="00B921A5" w:rsidRDefault="00B5766B" w:rsidP="0074187B">
            <w:pPr>
              <w:jc w:val="center"/>
              <w:rPr>
                <w:rFonts w:ascii="Arial" w:hAnsi="Arial" w:cs="Arial"/>
                <w:sz w:val="20"/>
                <w:szCs w:val="20"/>
              </w:rPr>
            </w:pPr>
            <w:r>
              <w:rPr>
                <w:rFonts w:ascii="Arial" w:hAnsi="Arial" w:cs="Arial"/>
                <w:sz w:val="20"/>
                <w:szCs w:val="20"/>
              </w:rPr>
              <w:t>EXP</w:t>
            </w:r>
          </w:p>
        </w:tc>
        <w:tc>
          <w:tcPr>
            <w:tcW w:w="1790" w:type="dxa"/>
            <w:tcBorders>
              <w:top w:val="single" w:sz="4" w:space="0" w:color="C0C0C0"/>
              <w:left w:val="nil"/>
              <w:bottom w:val="single" w:sz="4" w:space="0" w:color="C0C0C0"/>
              <w:right w:val="single" w:sz="4" w:space="0" w:color="C0C0C0"/>
            </w:tcBorders>
            <w:shd w:val="clear" w:color="auto" w:fill="auto"/>
          </w:tcPr>
          <w:p w:rsidR="00B5766B" w:rsidRPr="004D5378" w:rsidRDefault="00B5766B" w:rsidP="0074187B">
            <w:pPr>
              <w:jc w:val="center"/>
              <w:rPr>
                <w:rFonts w:ascii="Arial" w:hAnsi="Arial" w:cs="Arial"/>
                <w:sz w:val="20"/>
                <w:szCs w:val="20"/>
              </w:rPr>
            </w:pPr>
            <w:r>
              <w:rPr>
                <w:rFonts w:ascii="Arial" w:hAnsi="Arial" w:cs="Arial"/>
                <w:sz w:val="20"/>
                <w:szCs w:val="20"/>
              </w:rPr>
              <w:t xml:space="preserve">22 </w:t>
            </w:r>
            <w:r w:rsidRPr="00B5766B">
              <w:rPr>
                <w:rFonts w:ascii="Arial" w:hAnsi="Arial" w:cs="Arial"/>
                <w:sz w:val="20"/>
                <w:szCs w:val="20"/>
                <w:u w:val="single"/>
              </w:rPr>
              <w:t>+</w:t>
            </w:r>
            <w:r>
              <w:rPr>
                <w:rFonts w:ascii="Arial" w:hAnsi="Arial" w:cs="Arial"/>
                <w:sz w:val="20"/>
                <w:szCs w:val="20"/>
              </w:rPr>
              <w:t xml:space="preserve"> 13.6</w:t>
            </w:r>
          </w:p>
        </w:tc>
      </w:tr>
    </w:tbl>
    <w:p w:rsidR="00153F08" w:rsidRDefault="00153F08" w:rsidP="00153F08">
      <w:pPr>
        <w:rPr>
          <w:b/>
          <w:sz w:val="22"/>
          <w:szCs w:val="22"/>
        </w:rPr>
      </w:pPr>
    </w:p>
    <w:p w:rsidR="00153F08" w:rsidRDefault="00153F08" w:rsidP="00153F08">
      <w:pPr>
        <w:rPr>
          <w:b/>
          <w:sz w:val="22"/>
          <w:szCs w:val="22"/>
        </w:rPr>
      </w:pPr>
    </w:p>
    <w:p w:rsidR="00153F08" w:rsidRDefault="00153F08" w:rsidP="00153F08">
      <w:pPr>
        <w:rPr>
          <w:sz w:val="22"/>
          <w:szCs w:val="22"/>
        </w:rPr>
      </w:pPr>
      <w:r w:rsidRPr="00A74107">
        <w:rPr>
          <w:b/>
          <w:sz w:val="22"/>
          <w:szCs w:val="22"/>
        </w:rPr>
        <w:t>Desktop Review Bio:</w:t>
      </w:r>
      <w:r w:rsidRPr="00A74107">
        <w:rPr>
          <w:sz w:val="22"/>
          <w:szCs w:val="22"/>
        </w:rPr>
        <w:t xml:space="preserve">  </w:t>
      </w:r>
      <w:r w:rsidR="00B5766B" w:rsidRPr="00B5766B">
        <w:rPr>
          <w:sz w:val="22"/>
          <w:szCs w:val="22"/>
        </w:rPr>
        <w:t xml:space="preserve">J. Genet - 4/9/14 - Invert data collected from 5 stations in 2012.  </w:t>
      </w:r>
      <w:proofErr w:type="gramStart"/>
      <w:r w:rsidR="00B5766B" w:rsidRPr="00B5766B">
        <w:rPr>
          <w:sz w:val="22"/>
          <w:szCs w:val="22"/>
        </w:rPr>
        <w:t>Originally listed as impaired for inverts in 2006.</w:t>
      </w:r>
      <w:proofErr w:type="gramEnd"/>
      <w:r w:rsidR="00B5766B" w:rsidRPr="00B5766B">
        <w:rPr>
          <w:sz w:val="22"/>
          <w:szCs w:val="22"/>
        </w:rPr>
        <w:t xml:space="preserve"> Use attainability analysis resulted in splitting original assessment unit into upper modified use and lower general use sections. Pertaining to the original listing only data from 00UM048 is relevant.  The original data (2000) was re-scored with the new, statewide IBI and compared to the modified use </w:t>
      </w:r>
      <w:proofErr w:type="spellStart"/>
      <w:r w:rsidR="00B5766B" w:rsidRPr="00B5766B">
        <w:rPr>
          <w:sz w:val="22"/>
          <w:szCs w:val="22"/>
        </w:rPr>
        <w:t>biocriteria</w:t>
      </w:r>
      <w:proofErr w:type="spellEnd"/>
      <w:r w:rsidR="00B5766B" w:rsidRPr="00B5766B">
        <w:rPr>
          <w:sz w:val="22"/>
          <w:szCs w:val="22"/>
        </w:rPr>
        <w:t xml:space="preserve">. The 2000 IBI score is below the modified use threshold within the confidence interval.  </w:t>
      </w:r>
      <w:proofErr w:type="gramStart"/>
      <w:r w:rsidR="00B5766B" w:rsidRPr="00B5766B">
        <w:rPr>
          <w:sz w:val="22"/>
          <w:szCs w:val="22"/>
        </w:rPr>
        <w:t>2012 data from this same station scores above the modified use threshold within the confidence interval.</w:t>
      </w:r>
      <w:proofErr w:type="gramEnd"/>
      <w:r w:rsidR="00B5766B" w:rsidRPr="00B5766B">
        <w:rPr>
          <w:sz w:val="22"/>
          <w:szCs w:val="22"/>
        </w:rPr>
        <w:t xml:space="preserve">  2012 data from 3 stations located upstream and downstream of 00UM048 all score above modified use threshold, with two scoring above the upper confidence limit.  Pending adoption of the use change, would recommend an IBI correction for this segment of the SF Crow River to remove existing invert impairment.  Support of modified use based on aquatic macroinvertebrates pending rule change.</w:t>
      </w:r>
    </w:p>
    <w:p w:rsidR="00153F08" w:rsidRPr="00A74107" w:rsidRDefault="00153F08" w:rsidP="00153F08">
      <w:pPr>
        <w:rPr>
          <w:sz w:val="22"/>
          <w:szCs w:val="22"/>
        </w:rPr>
      </w:pPr>
      <w:r w:rsidRPr="00A74107">
        <w:rPr>
          <w:sz w:val="22"/>
          <w:szCs w:val="22"/>
        </w:rPr>
        <w:t xml:space="preserve">  </w:t>
      </w:r>
    </w:p>
    <w:p w:rsidR="00153F08" w:rsidRPr="00FE5560" w:rsidRDefault="00153F08" w:rsidP="00153F08">
      <w:pPr>
        <w:rPr>
          <w:sz w:val="22"/>
          <w:szCs w:val="22"/>
        </w:rPr>
      </w:pPr>
      <w:r w:rsidRPr="00A74107">
        <w:rPr>
          <w:b/>
          <w:sz w:val="22"/>
          <w:szCs w:val="22"/>
        </w:rPr>
        <w:lastRenderedPageBreak/>
        <w:t>Watershed Assessment Team:</w:t>
      </w:r>
      <w:r w:rsidRPr="00A74107">
        <w:rPr>
          <w:sz w:val="22"/>
          <w:szCs w:val="22"/>
        </w:rPr>
        <w:t xml:space="preserve"> </w:t>
      </w:r>
      <w:r w:rsidR="00FE5560">
        <w:rPr>
          <w:sz w:val="22"/>
          <w:szCs w:val="22"/>
        </w:rPr>
        <w:t xml:space="preserve">12/9/14 - </w:t>
      </w:r>
      <w:r w:rsidR="00FE5560" w:rsidRPr="00FE5560">
        <w:rPr>
          <w:sz w:val="22"/>
          <w:szCs w:val="22"/>
        </w:rPr>
        <w:t>Dissolved oxygen will remain as IF because there is limited confidence in the dataset. The fish data supports the previous listing and will carry forward the parents ID (540) listing. Inverts data now shows supports for modified use; will be corrected. (J. Genet)</w:t>
      </w:r>
    </w:p>
    <w:p w:rsidR="00FE5560" w:rsidRDefault="00FE5560" w:rsidP="00153F08">
      <w:pPr>
        <w:rPr>
          <w:b/>
          <w:sz w:val="22"/>
          <w:szCs w:val="22"/>
        </w:rPr>
      </w:pPr>
    </w:p>
    <w:p w:rsidR="00153F08" w:rsidRDefault="00153F08" w:rsidP="00153F08">
      <w:pPr>
        <w:rPr>
          <w:sz w:val="22"/>
          <w:szCs w:val="22"/>
        </w:rPr>
      </w:pPr>
      <w:r>
        <w:rPr>
          <w:b/>
          <w:sz w:val="22"/>
          <w:szCs w:val="22"/>
        </w:rPr>
        <w:t xml:space="preserve">Additional information:  </w:t>
      </w:r>
      <w:r w:rsidR="00F167B4">
        <w:rPr>
          <w:sz w:val="22"/>
          <w:szCs w:val="22"/>
        </w:rPr>
        <w:t xml:space="preserve">The original biological listing (2006) was based on now outdated biological criteria (Upper Miss Invert IBI), however the macroinvertebrate community data from this AUID only indicates support of a modified aquatic life use using the new statewide IBI and associated </w:t>
      </w:r>
      <w:proofErr w:type="spellStart"/>
      <w:r w:rsidR="00F167B4">
        <w:rPr>
          <w:sz w:val="22"/>
          <w:szCs w:val="22"/>
        </w:rPr>
        <w:t>biocriteria</w:t>
      </w:r>
      <w:proofErr w:type="spellEnd"/>
      <w:r w:rsidR="00F167B4">
        <w:rPr>
          <w:sz w:val="22"/>
          <w:szCs w:val="22"/>
        </w:rPr>
        <w:t xml:space="preserve">.  It is for this reason only </w:t>
      </w:r>
      <w:proofErr w:type="gramStart"/>
      <w:r w:rsidR="00F167B4">
        <w:rPr>
          <w:sz w:val="22"/>
          <w:szCs w:val="22"/>
        </w:rPr>
        <w:t>that  the</w:t>
      </w:r>
      <w:proofErr w:type="gramEnd"/>
      <w:r w:rsidR="00F167B4">
        <w:rPr>
          <w:sz w:val="22"/>
          <w:szCs w:val="22"/>
        </w:rPr>
        <w:t xml:space="preserve"> macroinvertebrates meet biological expectations, they would not meet general use aquatic life expectations.  Therefore, a correction is recommended pending the adoption of TALU in Minnesota water quality standards (</w:t>
      </w:r>
      <w:proofErr w:type="spellStart"/>
      <w:r w:rsidR="00F167B4">
        <w:rPr>
          <w:sz w:val="22"/>
          <w:szCs w:val="22"/>
        </w:rPr>
        <w:t>Minn</w:t>
      </w:r>
      <w:proofErr w:type="spellEnd"/>
      <w:r w:rsidR="00F167B4">
        <w:rPr>
          <w:sz w:val="22"/>
          <w:szCs w:val="22"/>
        </w:rPr>
        <w:t xml:space="preserve"> Rule 7050) and the accompanying change in this AUID’s designation to a modified aquatic life</w:t>
      </w:r>
      <w:r w:rsidR="00F167B4" w:rsidRPr="00FE5560">
        <w:rPr>
          <w:sz w:val="22"/>
          <w:szCs w:val="22"/>
        </w:rPr>
        <w:t xml:space="preserve"> </w:t>
      </w:r>
      <w:r w:rsidR="00F167B4">
        <w:rPr>
          <w:sz w:val="22"/>
          <w:szCs w:val="22"/>
        </w:rPr>
        <w:t>use.</w:t>
      </w:r>
      <w:r w:rsidR="00F167B4">
        <w:rPr>
          <w:sz w:val="22"/>
          <w:szCs w:val="22"/>
        </w:rPr>
        <w:t xml:space="preserve"> This is the type of situation the Agency tried to minimize with the policy of deferring of impairments on channelized streams (2008-2013).</w:t>
      </w:r>
      <w:bookmarkStart w:id="0" w:name="_GoBack"/>
      <w:bookmarkEnd w:id="0"/>
    </w:p>
    <w:p w:rsidR="00153F08" w:rsidRDefault="00153F08" w:rsidP="00153F08">
      <w:pPr>
        <w:rPr>
          <w:b/>
          <w:sz w:val="22"/>
          <w:szCs w:val="22"/>
        </w:rPr>
      </w:pPr>
    </w:p>
    <w:p w:rsidR="00153F08" w:rsidRDefault="00153F08" w:rsidP="00153F08">
      <w:pPr>
        <w:rPr>
          <w:b/>
          <w:sz w:val="22"/>
          <w:szCs w:val="22"/>
        </w:rPr>
      </w:pPr>
      <w:r>
        <w:rPr>
          <w:b/>
          <w:sz w:val="22"/>
          <w:szCs w:val="22"/>
        </w:rPr>
        <w:t>Correction</w:t>
      </w:r>
      <w:r w:rsidRPr="00E950B8">
        <w:rPr>
          <w:b/>
          <w:sz w:val="22"/>
          <w:szCs w:val="22"/>
        </w:rPr>
        <w:t xml:space="preserve"> </w:t>
      </w:r>
      <w:r>
        <w:rPr>
          <w:b/>
          <w:sz w:val="22"/>
          <w:szCs w:val="22"/>
        </w:rPr>
        <w:t>Review</w:t>
      </w:r>
      <w:r w:rsidRPr="00E950B8">
        <w:rPr>
          <w:b/>
          <w:sz w:val="22"/>
          <w:szCs w:val="22"/>
        </w:rPr>
        <w:t xml:space="preserve"> meeting </w:t>
      </w:r>
      <w:r>
        <w:rPr>
          <w:b/>
          <w:sz w:val="22"/>
          <w:szCs w:val="22"/>
        </w:rPr>
        <w:t>summary &amp;</w:t>
      </w:r>
      <w:r w:rsidRPr="00E950B8">
        <w:rPr>
          <w:b/>
          <w:sz w:val="22"/>
          <w:szCs w:val="22"/>
        </w:rPr>
        <w:t xml:space="preserve"> </w:t>
      </w:r>
      <w:r>
        <w:rPr>
          <w:b/>
          <w:sz w:val="22"/>
          <w:szCs w:val="22"/>
        </w:rPr>
        <w:t xml:space="preserve">(date):  </w:t>
      </w:r>
    </w:p>
    <w:p w:rsidR="00153F08" w:rsidRDefault="00153F08" w:rsidP="00153F08">
      <w:pPr>
        <w:rPr>
          <w:b/>
          <w:sz w:val="22"/>
          <w:szCs w:val="22"/>
        </w:rPr>
      </w:pPr>
    </w:p>
    <w:p w:rsidR="00153F08" w:rsidRPr="002F5CFC" w:rsidRDefault="00153F08" w:rsidP="00153F08">
      <w:pPr>
        <w:rPr>
          <w:sz w:val="22"/>
          <w:szCs w:val="22"/>
        </w:rPr>
      </w:pPr>
      <w:r w:rsidRPr="008D3E23">
        <w:rPr>
          <w:b/>
          <w:sz w:val="22"/>
          <w:szCs w:val="22"/>
        </w:rPr>
        <w:t>R</w:t>
      </w:r>
      <w:r>
        <w:rPr>
          <w:b/>
          <w:sz w:val="22"/>
          <w:szCs w:val="22"/>
        </w:rPr>
        <w:t>e</w:t>
      </w:r>
      <w:r w:rsidRPr="008D3E23">
        <w:rPr>
          <w:b/>
          <w:sz w:val="22"/>
          <w:szCs w:val="22"/>
        </w:rPr>
        <w:t>commendation:</w:t>
      </w:r>
      <w:r>
        <w:rPr>
          <w:sz w:val="22"/>
          <w:szCs w:val="22"/>
        </w:rPr>
        <w:t xml:space="preserve">  </w:t>
      </w:r>
    </w:p>
    <w:p w:rsidR="00CA0C0B" w:rsidRDefault="00CA0C0B"/>
    <w:sectPr w:rsidR="00CA0C0B" w:rsidSect="007952F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F08"/>
    <w:rsid w:val="00153F08"/>
    <w:rsid w:val="003033FC"/>
    <w:rsid w:val="00380BA4"/>
    <w:rsid w:val="007952FA"/>
    <w:rsid w:val="009F6AC9"/>
    <w:rsid w:val="00B5766B"/>
    <w:rsid w:val="00BB1E40"/>
    <w:rsid w:val="00BF369D"/>
    <w:rsid w:val="00CA0C0B"/>
    <w:rsid w:val="00EF6DEA"/>
    <w:rsid w:val="00F167B4"/>
    <w:rsid w:val="00FE55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F08"/>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F08"/>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431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622</Words>
  <Characters>3551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PCA</Company>
  <LinksUpToDate>false</LinksUpToDate>
  <CharactersWithSpaces>4165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Genet, John</dc:creator>
  <cp:lastModifiedBy>Genet, John</cp:lastModifiedBy>
  <cp:revision>2</cp:revision>
  <dcterms:created xsi:type="dcterms:W3CDTF">2014-12-12T20:01:00Z</dcterms:created>
  <dcterms:modified xsi:type="dcterms:W3CDTF">2014-12-12T21:06:00Z</dcterms:modified>
</cp:coreProperties>
</file>