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40"/>
        <w:gridCol w:w="7650"/>
      </w:tblGrid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 :</w:t>
            </w:r>
          </w:p>
        </w:tc>
        <w:tc>
          <w:tcPr>
            <w:tcW w:w="7650" w:type="dxa"/>
          </w:tcPr>
          <w:p w:rsidR="004C1CEB" w:rsidRDefault="00146A6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February </w:t>
            </w:r>
            <w:r w:rsidR="00DB6194"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9, 2016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Carol Sinden and </w:t>
            </w:r>
            <w:r w:rsidR="00EE4BC0">
              <w:rPr>
                <w:sz w:val="21"/>
                <w:szCs w:val="21"/>
              </w:rPr>
              <w:t>Miranda Nichols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 w:rsidRPr="00152268">
              <w:rPr>
                <w:sz w:val="21"/>
                <w:szCs w:val="21"/>
              </w:rPr>
              <w:t>Water Assessment &amp; Environmental Information</w:t>
            </w:r>
            <w:r>
              <w:rPr>
                <w:sz w:val="21"/>
                <w:szCs w:val="21"/>
              </w:rPr>
              <w:t xml:space="preserve"> Section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:</w:t>
            </w:r>
          </w:p>
        </w:tc>
        <w:tc>
          <w:tcPr>
            <w:tcW w:w="7650" w:type="dxa"/>
          </w:tcPr>
          <w:p w:rsidR="004C1CEB" w:rsidRDefault="00146A6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Steve Heiskary</w:t>
            </w:r>
          </w:p>
          <w:p w:rsidR="004C1CEB" w:rsidRDefault="00146A6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Water </w:t>
            </w:r>
            <w:r w:rsidR="00EE4BC0">
              <w:rPr>
                <w:sz w:val="21"/>
                <w:szCs w:val="21"/>
              </w:rPr>
              <w:t xml:space="preserve">Quality </w:t>
            </w:r>
            <w:r>
              <w:rPr>
                <w:sz w:val="21"/>
                <w:szCs w:val="21"/>
              </w:rPr>
              <w:t>Monitoring</w:t>
            </w:r>
            <w:r w:rsidR="004C1CEB">
              <w:rPr>
                <w:sz w:val="21"/>
                <w:szCs w:val="21"/>
              </w:rPr>
              <w:t xml:space="preserve"> Unit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Water Monitoring Section 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PHONE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(651) 757-</w:t>
            </w:r>
            <w:r w:rsidR="00146A6B">
              <w:rPr>
                <w:sz w:val="21"/>
                <w:szCs w:val="21"/>
              </w:rPr>
              <w:t>2419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SUBJECT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Request to remove Lake </w:t>
            </w:r>
            <w:r w:rsidR="00146A6B">
              <w:rPr>
                <w:sz w:val="21"/>
                <w:szCs w:val="21"/>
                <w:u w:val="single"/>
              </w:rPr>
              <w:t xml:space="preserve">Shaokotan </w:t>
            </w:r>
            <w:r>
              <w:rPr>
                <w:sz w:val="21"/>
                <w:szCs w:val="21"/>
                <w:u w:val="single"/>
              </w:rPr>
              <w:t>(</w:t>
            </w:r>
            <w:r w:rsidR="00146A6B">
              <w:rPr>
                <w:sz w:val="21"/>
                <w:szCs w:val="21"/>
                <w:u w:val="single"/>
              </w:rPr>
              <w:t>41-0089-00</w:t>
            </w:r>
            <w:r>
              <w:rPr>
                <w:sz w:val="21"/>
                <w:szCs w:val="21"/>
                <w:u w:val="single"/>
              </w:rPr>
              <w:t>) from the 303(d) Impaired Waters list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</w:tbl>
    <w:p w:rsidR="004C1CEB" w:rsidRDefault="004C1CEB" w:rsidP="004C1CEB">
      <w:pPr>
        <w:pStyle w:val="Title"/>
        <w:jc w:val="left"/>
        <w:rPr>
          <w:b w:val="0"/>
          <w:sz w:val="21"/>
          <w:szCs w:val="21"/>
        </w:rPr>
      </w:pPr>
    </w:p>
    <w:p w:rsidR="004C1CEB" w:rsidRDefault="004C1CEB" w:rsidP="004C1CEB">
      <w:pPr>
        <w:rPr>
          <w:sz w:val="21"/>
          <w:szCs w:val="21"/>
        </w:rPr>
      </w:pPr>
      <w:r>
        <w:rPr>
          <w:sz w:val="21"/>
          <w:szCs w:val="21"/>
        </w:rPr>
        <w:t>Upon review</w:t>
      </w:r>
      <w:r w:rsidR="00DB6194">
        <w:rPr>
          <w:sz w:val="21"/>
          <w:szCs w:val="21"/>
        </w:rPr>
        <w:t>ing</w:t>
      </w:r>
      <w:r>
        <w:rPr>
          <w:sz w:val="21"/>
          <w:szCs w:val="21"/>
        </w:rPr>
        <w:t xml:space="preserve"> </w:t>
      </w:r>
      <w:r w:rsidR="00146A6B">
        <w:rPr>
          <w:sz w:val="21"/>
          <w:szCs w:val="21"/>
        </w:rPr>
        <w:t>data collected through the Sentinel Lakes Program it was evident that Lake Shaokotan was below the total phosphorus eutrophication standard in 2013 and by 2014</w:t>
      </w:r>
      <w:r w:rsidR="00DB6194">
        <w:rPr>
          <w:sz w:val="21"/>
          <w:szCs w:val="21"/>
        </w:rPr>
        <w:t>,</w:t>
      </w:r>
      <w:r w:rsidR="00146A6B">
        <w:rPr>
          <w:sz w:val="21"/>
          <w:szCs w:val="21"/>
        </w:rPr>
        <w:t xml:space="preserve"> met the Chlorophyll-a and Secchi WQS as well.</w:t>
      </w:r>
      <w:r w:rsidR="00F911A6">
        <w:rPr>
          <w:sz w:val="21"/>
          <w:szCs w:val="21"/>
        </w:rPr>
        <w:t xml:space="preserve"> </w:t>
      </w:r>
    </w:p>
    <w:p w:rsidR="004C1CEB" w:rsidRDefault="004C1CEB" w:rsidP="004C1CEB">
      <w:pPr>
        <w:rPr>
          <w:sz w:val="21"/>
          <w:szCs w:val="21"/>
        </w:rPr>
      </w:pPr>
    </w:p>
    <w:p w:rsidR="004C1CEB" w:rsidRDefault="004C1CEB" w:rsidP="004C1CEB">
      <w:pPr>
        <w:pStyle w:val="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The original listing data (Table 1) indicated </w:t>
      </w:r>
      <w:r w:rsidR="00374D86">
        <w:rPr>
          <w:b w:val="0"/>
          <w:sz w:val="21"/>
          <w:szCs w:val="21"/>
        </w:rPr>
        <w:t xml:space="preserve">total phosphorus </w:t>
      </w:r>
      <w:r w:rsidR="00833DEE">
        <w:rPr>
          <w:b w:val="0"/>
          <w:sz w:val="21"/>
          <w:szCs w:val="21"/>
        </w:rPr>
        <w:t>and</w:t>
      </w:r>
      <w:r w:rsidR="00374D86">
        <w:rPr>
          <w:b w:val="0"/>
          <w:sz w:val="21"/>
          <w:szCs w:val="21"/>
        </w:rPr>
        <w:t xml:space="preserve"> chlorophyll-a exceed</w:t>
      </w:r>
      <w:r w:rsidR="00DB6194">
        <w:rPr>
          <w:b w:val="0"/>
          <w:sz w:val="21"/>
          <w:szCs w:val="21"/>
        </w:rPr>
        <w:t>ed</w:t>
      </w:r>
      <w:r w:rsidR="00374D86">
        <w:rPr>
          <w:b w:val="0"/>
          <w:sz w:val="21"/>
          <w:szCs w:val="21"/>
        </w:rPr>
        <w:t xml:space="preserve"> </w:t>
      </w:r>
      <w:r w:rsidR="00DB6194">
        <w:rPr>
          <w:b w:val="0"/>
          <w:sz w:val="21"/>
          <w:szCs w:val="21"/>
        </w:rPr>
        <w:t>the threshold and Secchi met</w:t>
      </w:r>
      <w:r w:rsidR="00374D86">
        <w:rPr>
          <w:b w:val="0"/>
          <w:sz w:val="21"/>
          <w:szCs w:val="21"/>
        </w:rPr>
        <w:t xml:space="preserve"> the standards.</w:t>
      </w:r>
      <w:r>
        <w:rPr>
          <w:b w:val="0"/>
          <w:sz w:val="21"/>
          <w:szCs w:val="21"/>
        </w:rPr>
        <w:t xml:space="preserve"> </w:t>
      </w:r>
      <w:r w:rsidR="00833DEE">
        <w:rPr>
          <w:b w:val="0"/>
          <w:sz w:val="21"/>
          <w:szCs w:val="21"/>
        </w:rPr>
        <w:t>Blue-green algal blooms were common in most summers (Figure 1) and rooted macrophytes were sparse across the lake.</w:t>
      </w:r>
    </w:p>
    <w:p w:rsidR="00833DEE" w:rsidRDefault="00833DEE" w:rsidP="004C1CEB">
      <w:pPr>
        <w:pStyle w:val="Title"/>
        <w:jc w:val="left"/>
        <w:rPr>
          <w:b w:val="0"/>
          <w:sz w:val="21"/>
          <w:szCs w:val="21"/>
        </w:rPr>
      </w:pPr>
    </w:p>
    <w:p w:rsidR="004C1CEB" w:rsidRPr="00490042" w:rsidRDefault="004C1CEB" w:rsidP="004C1CEB">
      <w:pPr>
        <w:jc w:val="center"/>
        <w:rPr>
          <w:rFonts w:asciiTheme="minorHAnsi" w:hAnsiTheme="minorHAnsi"/>
          <w:b/>
          <w:sz w:val="18"/>
          <w:szCs w:val="18"/>
        </w:rPr>
      </w:pPr>
      <w:r w:rsidRPr="00490042">
        <w:rPr>
          <w:rFonts w:asciiTheme="minorHAnsi" w:hAnsiTheme="minorHAnsi"/>
          <w:b/>
          <w:sz w:val="18"/>
          <w:szCs w:val="18"/>
        </w:rPr>
        <w:t>Table 1.  Lake eutrophication standards</w:t>
      </w:r>
    </w:p>
    <w:p w:rsidR="004C1CEB" w:rsidRDefault="004C1CEB" w:rsidP="004C1CEB"/>
    <w:tbl>
      <w:tblPr>
        <w:tblStyle w:val="TableGrid2"/>
        <w:tblpPr w:leftFromText="187" w:rightFromText="187" w:vertAnchor="text" w:horzAnchor="margin" w:tblpXSpec="center" w:tblpY="18"/>
        <w:tblOverlap w:val="never"/>
        <w:tblW w:w="7848" w:type="dxa"/>
        <w:tblLayout w:type="fixed"/>
        <w:tblLook w:val="00A0" w:firstRow="1" w:lastRow="0" w:firstColumn="1" w:lastColumn="0" w:noHBand="0" w:noVBand="0"/>
      </w:tblPr>
      <w:tblGrid>
        <w:gridCol w:w="4428"/>
        <w:gridCol w:w="1080"/>
        <w:gridCol w:w="1080"/>
        <w:gridCol w:w="1260"/>
      </w:tblGrid>
      <w:tr w:rsidR="004C1CEB" w:rsidTr="004C1C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Merge w:val="restart"/>
            <w:tcBorders>
              <w:top w:val="nil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4C1CEB" w:rsidRPr="00490042" w:rsidRDefault="004C1CEB" w:rsidP="004C1CEB">
            <w:pPr>
              <w:jc w:val="center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Ecoregion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4C1CEB" w:rsidP="004C1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TP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4C1CEB" w:rsidP="004C1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Chl-a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2" w:space="0" w:color="auto"/>
              <w:right w:val="nil"/>
            </w:tcBorders>
            <w:shd w:val="clear" w:color="auto" w:fill="F3F3F3"/>
            <w:hideMark/>
          </w:tcPr>
          <w:p w:rsidR="004C1CEB" w:rsidRPr="00490042" w:rsidRDefault="004C1CEB" w:rsidP="004C1CE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Secchi</w:t>
            </w:r>
          </w:p>
        </w:tc>
      </w:tr>
      <w:tr w:rsidR="004C1CEB" w:rsidTr="004C1C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:rsidR="004C1CEB" w:rsidRPr="00490042" w:rsidRDefault="004C1CEB" w:rsidP="004C1CEB">
            <w:pPr>
              <w:rPr>
                <w:rFonts w:asciiTheme="minorHAnsi" w:eastAsia="SimSun" w:hAnsiTheme="minorHAnsi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4C1CEB" w:rsidP="004C1CEB">
            <w:pPr>
              <w:pStyle w:val="Header"/>
              <w:spacing w:line="2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µg/L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4C1CEB" w:rsidP="004C1CEB">
            <w:pPr>
              <w:pStyle w:val="Header"/>
              <w:spacing w:line="2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µg/L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6" w:space="0" w:color="000000"/>
              <w:bottom w:val="single" w:sz="12" w:space="0" w:color="auto"/>
              <w:right w:val="nil"/>
            </w:tcBorders>
            <w:shd w:val="clear" w:color="auto" w:fill="F3F3F3"/>
            <w:hideMark/>
          </w:tcPr>
          <w:p w:rsidR="004C1CEB" w:rsidRPr="00490042" w:rsidRDefault="004C1CEB" w:rsidP="004C1CEB">
            <w:pPr>
              <w:pStyle w:val="Header"/>
              <w:spacing w:line="2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meters</w:t>
            </w:r>
          </w:p>
        </w:tc>
      </w:tr>
      <w:tr w:rsidR="004C1CEB" w:rsidTr="004C1C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6" w:space="0" w:color="000000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4C1CEB" w:rsidP="00F911A6">
            <w:pPr>
              <w:pStyle w:val="Header"/>
              <w:spacing w:line="200" w:lineRule="exact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 w:val="0"/>
                <w:sz w:val="18"/>
                <w:szCs w:val="18"/>
              </w:rPr>
              <w:t>NCHF – Aquatic Rec. Use (Class 2B)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4C1CEB" w:rsidRPr="00490042" w:rsidRDefault="004C1CEB" w:rsidP="00146A6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/>
                <w:sz w:val="18"/>
                <w:szCs w:val="18"/>
              </w:rPr>
              <w:t xml:space="preserve">&lt; </w:t>
            </w:r>
            <w:r w:rsidR="00146A6B">
              <w:rPr>
                <w:rFonts w:asciiTheme="minorHAnsi" w:hAnsiTheme="minorHAnsi" w:cs="Arial"/>
                <w:bCs/>
                <w:sz w:val="18"/>
                <w:szCs w:val="18"/>
              </w:rPr>
              <w:t>90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4C1CEB" w:rsidRPr="00490042" w:rsidRDefault="004C1CEB" w:rsidP="00146A6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/>
                <w:sz w:val="18"/>
                <w:szCs w:val="18"/>
              </w:rPr>
              <w:t xml:space="preserve">&lt; </w:t>
            </w:r>
            <w:r w:rsidR="00146A6B">
              <w:rPr>
                <w:rFonts w:asciiTheme="minorHAnsi" w:hAnsiTheme="minorHAnsi" w:cs="Arial"/>
                <w:bCs/>
                <w:sz w:val="18"/>
                <w:szCs w:val="18"/>
              </w:rPr>
              <w:t>30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nil"/>
            </w:tcBorders>
            <w:vAlign w:val="bottom"/>
            <w:hideMark/>
          </w:tcPr>
          <w:p w:rsidR="004C1CEB" w:rsidRPr="00490042" w:rsidRDefault="004C1CEB" w:rsidP="00146A6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/>
                <w:sz w:val="18"/>
                <w:szCs w:val="18"/>
              </w:rPr>
              <w:t xml:space="preserve">&gt; </w:t>
            </w:r>
            <w:r w:rsidR="00146A6B">
              <w:rPr>
                <w:rFonts w:asciiTheme="minorHAnsi" w:hAnsiTheme="minorHAnsi" w:cs="Arial"/>
                <w:bCs/>
                <w:sz w:val="18"/>
                <w:szCs w:val="18"/>
              </w:rPr>
              <w:t>0.7</w:t>
            </w:r>
          </w:p>
        </w:tc>
      </w:tr>
      <w:tr w:rsidR="004C1CEB" w:rsidTr="00146A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012594" w:rsidP="00F911A6">
            <w:pPr>
              <w:rPr>
                <w:rFonts w:asciiTheme="minorHAnsi" w:eastAsia="SimSun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>1997-2006 Shaokotan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1CEB" w:rsidRPr="00490042" w:rsidRDefault="00012594" w:rsidP="004C1CE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161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C1CEB" w:rsidRPr="00490042" w:rsidRDefault="00012594" w:rsidP="004C1CE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4C1CEB" w:rsidRPr="00490042" w:rsidRDefault="00012594" w:rsidP="004C1CE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1.3</w:t>
            </w:r>
          </w:p>
        </w:tc>
      </w:tr>
      <w:tr w:rsidR="004C1CEB" w:rsidTr="00146A6B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6" w:space="0" w:color="000000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4C1CEB" w:rsidRPr="00490042" w:rsidRDefault="00146A6B" w:rsidP="00F911A6">
            <w:pPr>
              <w:rPr>
                <w:rFonts w:asciiTheme="minorHAnsi" w:eastAsia="SimSun" w:hAnsiTheme="minorHAnsi" w:cs="Arial"/>
                <w:sz w:val="18"/>
                <w:szCs w:val="18"/>
              </w:rPr>
            </w:pPr>
            <w:r>
              <w:rPr>
                <w:rFonts w:asciiTheme="minorHAnsi" w:eastAsia="SimSun" w:hAnsiTheme="minorHAnsi" w:cs="Arial"/>
                <w:sz w:val="18"/>
                <w:szCs w:val="18"/>
              </w:rPr>
              <w:t>2014-2015 Shaokotan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</w:tcPr>
          <w:p w:rsidR="004C1CEB" w:rsidRPr="00490042" w:rsidRDefault="00012594" w:rsidP="004C1CE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39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</w:tcPr>
          <w:p w:rsidR="004C1CEB" w:rsidRPr="00490042" w:rsidRDefault="00146A6B" w:rsidP="004C1CE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10.2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nil"/>
            </w:tcBorders>
            <w:vAlign w:val="bottom"/>
          </w:tcPr>
          <w:p w:rsidR="004C1CEB" w:rsidRPr="00490042" w:rsidRDefault="00012594" w:rsidP="004C1CEB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2.0</w:t>
            </w:r>
          </w:p>
        </w:tc>
      </w:tr>
    </w:tbl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146A6B" w:rsidRPr="00146A6B" w:rsidRDefault="00146A6B" w:rsidP="00146A6B">
      <w:pPr>
        <w:rPr>
          <w:sz w:val="21"/>
          <w:szCs w:val="21"/>
        </w:rPr>
      </w:pPr>
      <w:r w:rsidRPr="00146A6B">
        <w:rPr>
          <w:sz w:val="21"/>
          <w:szCs w:val="21"/>
        </w:rPr>
        <w:t>Lake Shaokotan was listed in 2007</w:t>
      </w:r>
      <w:r w:rsidR="00012594">
        <w:rPr>
          <w:sz w:val="21"/>
          <w:szCs w:val="21"/>
        </w:rPr>
        <w:t xml:space="preserve">. It has been the subject of </w:t>
      </w:r>
      <w:r w:rsidRPr="00146A6B">
        <w:rPr>
          <w:sz w:val="21"/>
          <w:szCs w:val="21"/>
        </w:rPr>
        <w:t xml:space="preserve">Clean Water Partnership </w:t>
      </w:r>
      <w:r w:rsidR="00012594">
        <w:rPr>
          <w:sz w:val="21"/>
          <w:szCs w:val="21"/>
        </w:rPr>
        <w:t xml:space="preserve">(CWP) </w:t>
      </w:r>
      <w:r w:rsidRPr="00146A6B">
        <w:rPr>
          <w:sz w:val="21"/>
          <w:szCs w:val="21"/>
        </w:rPr>
        <w:t xml:space="preserve">studies and implementation, TMDL development and implementation, and as a Sentinel Lake, it has had extensive monitoring in 2008, 2013, 2014, and 2015. In addition, its primary inflow and surficial groundwater </w:t>
      </w:r>
      <w:r w:rsidR="00012594">
        <w:rPr>
          <w:sz w:val="21"/>
          <w:szCs w:val="21"/>
        </w:rPr>
        <w:t xml:space="preserve">were </w:t>
      </w:r>
      <w:r w:rsidR="00833DEE">
        <w:rPr>
          <w:sz w:val="21"/>
          <w:szCs w:val="21"/>
        </w:rPr>
        <w:t>monit</w:t>
      </w:r>
      <w:r w:rsidR="00833DEE" w:rsidRPr="00146A6B">
        <w:rPr>
          <w:sz w:val="21"/>
          <w:szCs w:val="21"/>
        </w:rPr>
        <w:t>ored in</w:t>
      </w:r>
      <w:r w:rsidRPr="00146A6B">
        <w:rPr>
          <w:sz w:val="21"/>
          <w:szCs w:val="21"/>
        </w:rPr>
        <w:t xml:space="preserve"> 2014. Numerous best management practices </w:t>
      </w:r>
      <w:r w:rsidR="00012594">
        <w:rPr>
          <w:sz w:val="21"/>
          <w:szCs w:val="21"/>
        </w:rPr>
        <w:t xml:space="preserve">were </w:t>
      </w:r>
      <w:r w:rsidRPr="00146A6B">
        <w:rPr>
          <w:sz w:val="21"/>
          <w:szCs w:val="21"/>
        </w:rPr>
        <w:t>implemented over the years. Among the most important</w:t>
      </w:r>
      <w:r w:rsidR="00012594">
        <w:rPr>
          <w:sz w:val="21"/>
          <w:szCs w:val="21"/>
        </w:rPr>
        <w:t>,</w:t>
      </w:r>
      <w:r w:rsidRPr="00146A6B">
        <w:rPr>
          <w:sz w:val="21"/>
          <w:szCs w:val="21"/>
        </w:rPr>
        <w:t xml:space="preserve"> was addressing feedlot runoff issues, retirement of highly erodible land, and wetland creation. </w:t>
      </w:r>
      <w:r w:rsidR="00012594">
        <w:rPr>
          <w:sz w:val="21"/>
          <w:szCs w:val="21"/>
        </w:rPr>
        <w:t xml:space="preserve">In </w:t>
      </w:r>
      <w:r w:rsidRPr="00146A6B">
        <w:rPr>
          <w:sz w:val="21"/>
          <w:szCs w:val="21"/>
        </w:rPr>
        <w:t>2014</w:t>
      </w:r>
      <w:r w:rsidR="00012594">
        <w:rPr>
          <w:sz w:val="21"/>
          <w:szCs w:val="21"/>
        </w:rPr>
        <w:t>,</w:t>
      </w:r>
      <w:r w:rsidRPr="00146A6B">
        <w:rPr>
          <w:sz w:val="21"/>
          <w:szCs w:val="21"/>
        </w:rPr>
        <w:t xml:space="preserve"> inflow phosphorus was 20-170 ppb as compared to concentrations of 100-400 during CWP monitoring. In-lake TP declined to 75 ppb in 2013 and in 2014 and 2015 averaged 39 ppb based on </w:t>
      </w:r>
      <w:r w:rsidR="00833DEE" w:rsidRPr="00146A6B">
        <w:rPr>
          <w:sz w:val="21"/>
          <w:szCs w:val="21"/>
        </w:rPr>
        <w:t>eight</w:t>
      </w:r>
      <w:r w:rsidRPr="00146A6B">
        <w:rPr>
          <w:sz w:val="21"/>
          <w:szCs w:val="21"/>
        </w:rPr>
        <w:t xml:space="preserve"> samples</w:t>
      </w:r>
      <w:r w:rsidR="00833DEE">
        <w:rPr>
          <w:sz w:val="21"/>
          <w:szCs w:val="21"/>
        </w:rPr>
        <w:t xml:space="preserve"> (Figure 1).</w:t>
      </w:r>
      <w:r w:rsidRPr="00146A6B">
        <w:rPr>
          <w:sz w:val="21"/>
          <w:szCs w:val="21"/>
        </w:rPr>
        <w:t xml:space="preserve"> Chlorophyll-a averaged 10.2 ppb based on </w:t>
      </w:r>
      <w:r w:rsidR="00DB6194" w:rsidRPr="00146A6B">
        <w:rPr>
          <w:sz w:val="21"/>
          <w:szCs w:val="21"/>
        </w:rPr>
        <w:t>eight</w:t>
      </w:r>
      <w:r w:rsidRPr="00146A6B">
        <w:rPr>
          <w:sz w:val="21"/>
          <w:szCs w:val="21"/>
        </w:rPr>
        <w:t xml:space="preserve"> samples for 2014 and 2015</w:t>
      </w:r>
      <w:r w:rsidR="00DB6194">
        <w:rPr>
          <w:sz w:val="21"/>
          <w:szCs w:val="21"/>
        </w:rPr>
        <w:t xml:space="preserve"> and there was a shift from blue-green-dominance (pre-2014) to a mix of algal forms (Figure 2)</w:t>
      </w:r>
      <w:r w:rsidRPr="00146A6B">
        <w:rPr>
          <w:sz w:val="21"/>
          <w:szCs w:val="21"/>
        </w:rPr>
        <w:t>. Secchi averaged 1.8 m based on 13 samples for 2014 and 2015. Over this same two-year period, we have noted a shift from an algal-dominated lake to a plant-dominated lake, which is consistent with expectations for a shallow lake</w:t>
      </w:r>
      <w:r w:rsidR="00370D03">
        <w:rPr>
          <w:sz w:val="21"/>
          <w:szCs w:val="21"/>
        </w:rPr>
        <w:t xml:space="preserve"> (Figure 3)</w:t>
      </w:r>
      <w:r w:rsidRPr="00146A6B">
        <w:rPr>
          <w:sz w:val="21"/>
          <w:szCs w:val="21"/>
        </w:rPr>
        <w:t xml:space="preserve">. </w:t>
      </w:r>
      <w:r w:rsidR="00EE4BC0">
        <w:rPr>
          <w:sz w:val="21"/>
          <w:szCs w:val="21"/>
        </w:rPr>
        <w:t>MDNR plant surveys indicate numerous species of native aquatic plants</w:t>
      </w:r>
      <w:r w:rsidR="00370D03">
        <w:rPr>
          <w:sz w:val="21"/>
          <w:szCs w:val="21"/>
        </w:rPr>
        <w:t xml:space="preserve"> (Figure 3)</w:t>
      </w:r>
      <w:r w:rsidR="00EE4BC0">
        <w:rPr>
          <w:sz w:val="21"/>
          <w:szCs w:val="21"/>
        </w:rPr>
        <w:t xml:space="preserve">. </w:t>
      </w:r>
      <w:r w:rsidRPr="00146A6B">
        <w:rPr>
          <w:sz w:val="21"/>
          <w:szCs w:val="21"/>
        </w:rPr>
        <w:t>Assessment data from 2014 and 2015 now meet all applicable nutrient WQS</w:t>
      </w:r>
      <w:r w:rsidR="00833DEE">
        <w:rPr>
          <w:sz w:val="21"/>
          <w:szCs w:val="21"/>
        </w:rPr>
        <w:t xml:space="preserve"> (Table 1)</w:t>
      </w:r>
      <w:r w:rsidRPr="00146A6B">
        <w:rPr>
          <w:sz w:val="21"/>
          <w:szCs w:val="21"/>
        </w:rPr>
        <w:t>.</w:t>
      </w:r>
    </w:p>
    <w:p w:rsidR="004C1CEB" w:rsidRDefault="004C1CEB" w:rsidP="00146A6B"/>
    <w:p w:rsidR="0036072B" w:rsidRDefault="0036072B" w:rsidP="00146A6B">
      <w:r>
        <w:t>With the improving water chemistry</w:t>
      </w:r>
      <w:r w:rsidR="000B73C2">
        <w:t>, reduction in algal blooms,</w:t>
      </w:r>
      <w:r w:rsidR="00DB6194">
        <w:t xml:space="preserve"> </w:t>
      </w:r>
      <w:r w:rsidR="000B73C2">
        <w:t xml:space="preserve">increased </w:t>
      </w:r>
      <w:r>
        <w:t xml:space="preserve">clarity and </w:t>
      </w:r>
      <w:r w:rsidR="000B73C2">
        <w:t xml:space="preserve">documented </w:t>
      </w:r>
      <w:r>
        <w:t>implementation of best management practices, it is recommended that the lake be removed from the 303(d) Impaired Waters List.</w:t>
      </w:r>
    </w:p>
    <w:p w:rsidR="003E1F4D" w:rsidRDefault="003E1F4D">
      <w:pPr>
        <w:rPr>
          <w:b/>
        </w:rPr>
      </w:pPr>
    </w:p>
    <w:p w:rsidR="000B73C2" w:rsidRDefault="000B73C2">
      <w:pPr>
        <w:rPr>
          <w:b/>
        </w:rPr>
      </w:pPr>
      <w:r>
        <w:rPr>
          <w:b/>
        </w:rPr>
        <w:br w:type="page"/>
      </w:r>
      <w:bookmarkStart w:id="0" w:name="_GoBack"/>
      <w:bookmarkEnd w:id="0"/>
    </w:p>
    <w:p w:rsidR="00FC6336" w:rsidRDefault="00833DEE">
      <w:r>
        <w:t xml:space="preserve">Figure 1. Lake Shaokotan summer-mean TP and chlorophyll-a. </w:t>
      </w:r>
    </w:p>
    <w:p w:rsidR="00FC6336" w:rsidRDefault="00012594">
      <w:r>
        <w:rPr>
          <w:noProof/>
        </w:rPr>
        <w:drawing>
          <wp:inline distT="0" distB="0" distL="0" distR="0" wp14:anchorId="06DD3812">
            <wp:extent cx="4182386" cy="2906334"/>
            <wp:effectExtent l="0" t="0" r="889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671" cy="2912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2594" w:rsidRDefault="00012594"/>
    <w:p w:rsidR="00FF3AE9" w:rsidRDefault="00012594">
      <w:r>
        <w:rPr>
          <w:noProof/>
        </w:rPr>
        <w:drawing>
          <wp:inline distT="0" distB="0" distL="0" distR="0" wp14:anchorId="4962DD47">
            <wp:extent cx="3792772" cy="2512069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674" cy="25126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E4BC0" w:rsidRDefault="00EE4BC0"/>
    <w:p w:rsidR="00EE4BC0" w:rsidRDefault="00EE4BC0">
      <w:r>
        <w:t xml:space="preserve">Figure 2. Algal composition. Note shift from </w:t>
      </w:r>
      <w:r w:rsidR="00DB6194">
        <w:t>Cyanophyta</w:t>
      </w:r>
      <w:r>
        <w:t xml:space="preserve"> (blue-green) dominance in 2013 to a mix in 2014 &amp; 2015.</w:t>
      </w:r>
    </w:p>
    <w:p w:rsidR="00EE4BC0" w:rsidRDefault="00EE4BC0">
      <w:r>
        <w:rPr>
          <w:noProof/>
        </w:rPr>
        <w:drawing>
          <wp:inline distT="0" distB="0" distL="0" distR="0">
            <wp:extent cx="4031311" cy="2279521"/>
            <wp:effectExtent l="0" t="0" r="7620" b="6985"/>
            <wp:docPr id="3" name="Picture 3" descr="X:\Agency_Files\Water\Condition Monitoring\Lakes\Sentinel Lakes\All Lakes\Shaokotan\2015 reporting data ppts\shaokotan phyto composition 2013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Agency_Files\Water\Condition Monitoring\Lakes\Sentinel Lakes\All Lakes\Shaokotan\2015 reporting data ppts\shaokotan phyto composition 2013-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999" cy="228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BC0" w:rsidRDefault="00EE4BC0"/>
    <w:p w:rsidR="00EE4BC0" w:rsidRDefault="00EE4BC0">
      <w:r>
        <w:t>Figure 3</w:t>
      </w:r>
      <w:r w:rsidR="00DB6194">
        <w:t xml:space="preserve">. </w:t>
      </w:r>
      <w:proofErr w:type="gramStart"/>
      <w:r w:rsidR="00DB6194">
        <w:t>2013</w:t>
      </w:r>
      <w:proofErr w:type="gramEnd"/>
      <w:r>
        <w:t xml:space="preserve"> water quality conditions on Shaokotan as compared to 2014-2015</w:t>
      </w:r>
    </w:p>
    <w:p w:rsidR="00370D03" w:rsidRDefault="00370D03"/>
    <w:p w:rsidR="00EE4BC0" w:rsidRDefault="00370D03">
      <w:r>
        <w:t>2013</w:t>
      </w:r>
    </w:p>
    <w:p w:rsidR="00370D03" w:rsidRDefault="00370D03">
      <w:r>
        <w:rPr>
          <w:noProof/>
        </w:rPr>
        <w:drawing>
          <wp:inline distT="0" distB="0" distL="0" distR="0">
            <wp:extent cx="3101009" cy="2326365"/>
            <wp:effectExtent l="0" t="0" r="4445" b="0"/>
            <wp:docPr id="6" name="Picture 6" descr="X:\Agency_Files\Water\Condition Monitoring\Lakes\Sentinel Lakes\All Lakes\Shaokotan\photos\photos 2013\Shaok 7 8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X:\Agency_Files\Water\Condition Monitoring\Lakes\Sentinel Lakes\All Lakes\Shaokotan\photos\photos 2013\Shaok 7 8 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936" cy="2333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B6194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961538" cy="2329732"/>
            <wp:effectExtent l="0" t="0" r="0" b="0"/>
            <wp:docPr id="7" name="Picture 7" descr="X:\Agency_Files\Water\Condition Monitoring\Lakes\Sentinel Lakes\All Lakes\Shaokotan\photos\photos 2013\Shaok 8 6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X:\Agency_Files\Water\Condition Monitoring\Lakes\Sentinel Lakes\All Lakes\Shaokotan\photos\photos 2013\Shaok 8 6 1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485" cy="232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D03" w:rsidRDefault="00370D03"/>
    <w:p w:rsidR="00370D03" w:rsidRDefault="00370D03">
      <w:r>
        <w:t>2015</w:t>
      </w:r>
    </w:p>
    <w:p w:rsidR="00370D03" w:rsidRDefault="00370D03"/>
    <w:p w:rsidR="00EE4BC0" w:rsidRDefault="00370D03">
      <w:r>
        <w:rPr>
          <w:noProof/>
        </w:rPr>
        <w:drawing>
          <wp:inline distT="0" distB="0" distL="0" distR="0">
            <wp:extent cx="3101009" cy="2154733"/>
            <wp:effectExtent l="0" t="0" r="4445" b="0"/>
            <wp:docPr id="5" name="Picture 5" descr="C:\Users\sheiska\AppData\Local\Microsoft\Windows\Temporary Internet Files\Content.Word\DSC_0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heiska\AppData\Local\Microsoft\Windows\Temporary Internet Files\Content.Word\DSC_097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907" cy="2159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DB6194">
        <w:rPr>
          <w:noProof/>
        </w:rPr>
        <w:t xml:space="preserve">  </w:t>
      </w:r>
      <w:r w:rsidR="00EE4BC0">
        <w:rPr>
          <w:noProof/>
        </w:rPr>
        <w:drawing>
          <wp:inline distT="0" distB="0" distL="0" distR="0">
            <wp:extent cx="2918129" cy="2161663"/>
            <wp:effectExtent l="0" t="0" r="0" b="0"/>
            <wp:docPr id="4" name="Picture 4" descr="X:\Agency_Files\Water\Condition Monitoring\Lakes\Sentinel Lakes\All Lakes\Shaokotan\2015 reporting data ppts\Pelican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X:\Agency_Files\Water\Condition Monitoring\Lakes\Sentinel Lakes\All Lakes\Shaokotan\2015 reporting data ppts\Pelican_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222" cy="216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D03" w:rsidRDefault="00370D03"/>
    <w:p w:rsidR="00370D03" w:rsidRDefault="00370D03">
      <w:r>
        <w:rPr>
          <w:noProof/>
        </w:rPr>
        <w:drawing>
          <wp:inline distT="0" distB="0" distL="0" distR="0">
            <wp:extent cx="3156668" cy="2258170"/>
            <wp:effectExtent l="0" t="0" r="5715" b="8890"/>
            <wp:docPr id="8" name="Picture 8" descr="X:\Agency_Files\Water\Condition Monitoring\Lakes\Sentinel Lakes\All Lakes\Shaokotan\2015 reporting data ppts\narrowle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X:\Agency_Files\Water\Condition Monitoring\Lakes\Sentinel Lakes\All Lakes\Shaokotan\2015 reporting data ppts\narrowlea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668" cy="225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D03"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894275" cy="2162358"/>
            <wp:effectExtent l="0" t="0" r="1905" b="0"/>
            <wp:docPr id="9" name="Picture 9" descr="C:\Users\sheiska\AppData\Local\Microsoft\Windows\Temporary Internet Files\Content.Word\DSC_0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heiska\AppData\Local\Microsoft\Windows\Temporary Internet Files\Content.Word\DSC_099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2170" cy="216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0D03" w:rsidSect="005571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EC4"/>
    <w:multiLevelType w:val="hybridMultilevel"/>
    <w:tmpl w:val="822EB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055C1E"/>
    <w:multiLevelType w:val="hybridMultilevel"/>
    <w:tmpl w:val="6FD0F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E9"/>
    <w:rsid w:val="00012594"/>
    <w:rsid w:val="00043FBB"/>
    <w:rsid w:val="000B73C2"/>
    <w:rsid w:val="000E3DD0"/>
    <w:rsid w:val="00146A6B"/>
    <w:rsid w:val="001978F8"/>
    <w:rsid w:val="001D17E7"/>
    <w:rsid w:val="00211860"/>
    <w:rsid w:val="0036072B"/>
    <w:rsid w:val="00370D03"/>
    <w:rsid w:val="00374D86"/>
    <w:rsid w:val="003E1F4D"/>
    <w:rsid w:val="004C1CEB"/>
    <w:rsid w:val="004F4CAE"/>
    <w:rsid w:val="00552C59"/>
    <w:rsid w:val="00557152"/>
    <w:rsid w:val="00567DF6"/>
    <w:rsid w:val="005D6EF7"/>
    <w:rsid w:val="006015E8"/>
    <w:rsid w:val="00611E76"/>
    <w:rsid w:val="00701AFB"/>
    <w:rsid w:val="007042AA"/>
    <w:rsid w:val="00833DEE"/>
    <w:rsid w:val="00834CFB"/>
    <w:rsid w:val="0086502C"/>
    <w:rsid w:val="009359DB"/>
    <w:rsid w:val="009F1098"/>
    <w:rsid w:val="00A257D9"/>
    <w:rsid w:val="00A5736B"/>
    <w:rsid w:val="00BC19E5"/>
    <w:rsid w:val="00D43F39"/>
    <w:rsid w:val="00DB6194"/>
    <w:rsid w:val="00DC3CBF"/>
    <w:rsid w:val="00DE5811"/>
    <w:rsid w:val="00E533C3"/>
    <w:rsid w:val="00EA021C"/>
    <w:rsid w:val="00EE4BC0"/>
    <w:rsid w:val="00EF5B1A"/>
    <w:rsid w:val="00F911A6"/>
    <w:rsid w:val="00FC6336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EB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nhideWhenUsed/>
    <w:rsid w:val="004C1CEB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C1CEB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4C1CEB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4C1CEB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C1CEB"/>
    <w:rPr>
      <w:rFonts w:eastAsia="Times New 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5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5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EB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nhideWhenUsed/>
    <w:rsid w:val="004C1CEB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C1CEB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4C1CEB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4C1CEB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C1CEB"/>
    <w:rPr>
      <w:rFonts w:eastAsia="Times New 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5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5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panders</dc:creator>
  <cp:lastModifiedBy>Heiskary, Steven</cp:lastModifiedBy>
  <cp:revision>4</cp:revision>
  <dcterms:created xsi:type="dcterms:W3CDTF">2016-02-24T13:16:00Z</dcterms:created>
  <dcterms:modified xsi:type="dcterms:W3CDTF">2016-02-29T16:12:00Z</dcterms:modified>
</cp:coreProperties>
</file>