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64" w:rsidRPr="00F5529C" w:rsidRDefault="00062964" w:rsidP="00062964">
      <w:pPr>
        <w:pStyle w:val="Heading1"/>
        <w:rPr>
          <w:color w:val="auto"/>
          <w:sz w:val="26"/>
          <w:szCs w:val="26"/>
        </w:rPr>
      </w:pPr>
      <w:bookmarkStart w:id="0" w:name="_Ref281383231"/>
      <w:r w:rsidRPr="00F5529C">
        <w:rPr>
          <w:color w:val="auto"/>
          <w:sz w:val="26"/>
          <w:szCs w:val="26"/>
        </w:rPr>
        <w:t>Eligible &amp; Ineligible Expenses</w:t>
      </w:r>
      <w:bookmarkEnd w:id="0"/>
    </w:p>
    <w:p w:rsidR="00062964" w:rsidRPr="00F5529C" w:rsidRDefault="00062964" w:rsidP="00062964">
      <w:pPr>
        <w:pStyle w:val="Heading3"/>
        <w:numPr>
          <w:ilvl w:val="0"/>
          <w:numId w:val="38"/>
        </w:numPr>
        <w:ind w:left="630"/>
        <w:rPr>
          <w:rFonts w:asciiTheme="minorHAnsi" w:eastAsiaTheme="minorEastAsia" w:hAnsiTheme="minorHAnsi" w:cstheme="minorBidi"/>
          <w:color w:val="auto"/>
        </w:rPr>
      </w:pPr>
      <w:bookmarkStart w:id="1" w:name="_Toc281401856"/>
      <w:r w:rsidRPr="00F5529C">
        <w:rPr>
          <w:rFonts w:asciiTheme="minorHAnsi" w:eastAsiaTheme="minorEastAsia" w:hAnsiTheme="minorHAnsi" w:cstheme="minorBidi"/>
          <w:color w:val="auto"/>
        </w:rPr>
        <w:t>Eligible Expenses</w:t>
      </w:r>
      <w:bookmarkEnd w:id="1"/>
    </w:p>
    <w:p w:rsidR="00062964" w:rsidRPr="00F5529C" w:rsidRDefault="00062964" w:rsidP="00062964">
      <w:pPr>
        <w:ind w:left="450" w:right="720"/>
      </w:pPr>
      <w:r w:rsidRPr="00F5529C">
        <w:t xml:space="preserve">Only eligible expenses will be reimbursed. Eligible expenses are costs directly incurred through work activities that are (a) solely related to and necessary for producing the work products and deliverables as described in the proposal and subsequent </w:t>
      </w:r>
      <w:proofErr w:type="spellStart"/>
      <w:r w:rsidRPr="00F5529C">
        <w:t>Workplan</w:t>
      </w:r>
      <w:proofErr w:type="spellEnd"/>
      <w:r w:rsidRPr="00F5529C">
        <w:t xml:space="preserve"> and (b) occur during the contract period. Expenses are eligible only if incurred on and after the effective date of the contract, or the date the contract was executed, whichever is later. Eligible expenses include, but are not limited to:</w:t>
      </w:r>
    </w:p>
    <w:p w:rsidR="00062964" w:rsidRPr="00F5529C" w:rsidRDefault="00062964" w:rsidP="00062964">
      <w:pPr>
        <w:pStyle w:val="Heading3"/>
        <w:numPr>
          <w:ilvl w:val="1"/>
          <w:numId w:val="13"/>
        </w:numPr>
        <w:ind w:left="1548"/>
        <w:rPr>
          <w:rFonts w:asciiTheme="minorHAnsi" w:eastAsiaTheme="minorEastAsia" w:hAnsiTheme="minorHAnsi" w:cstheme="minorBidi"/>
          <w:bCs w:val="0"/>
          <w:color w:val="auto"/>
        </w:rPr>
      </w:pPr>
      <w:r w:rsidRPr="00F5529C">
        <w:rPr>
          <w:rFonts w:asciiTheme="minorHAnsi" w:eastAsiaTheme="minorEastAsia" w:hAnsiTheme="minorHAnsi" w:cstheme="minorBidi"/>
          <w:bCs w:val="0"/>
          <w:color w:val="auto"/>
        </w:rPr>
        <w:t>Personnel</w:t>
      </w:r>
    </w:p>
    <w:p w:rsidR="00062964" w:rsidRPr="00F5529C" w:rsidRDefault="00062964" w:rsidP="00062964">
      <w:pPr>
        <w:ind w:left="450" w:right="720"/>
      </w:pPr>
      <w:r w:rsidRPr="00F5529C">
        <w:t>Applicant must include hourly rates for those staff that will be providing assistance and management of the contract. Include in hourly rate all costs, including:</w:t>
      </w:r>
    </w:p>
    <w:p w:rsidR="00062964" w:rsidRPr="00F5529C" w:rsidRDefault="00062964" w:rsidP="00062964">
      <w:pPr>
        <w:pStyle w:val="ListBullet2"/>
        <w:tabs>
          <w:tab w:val="clear" w:pos="720"/>
          <w:tab w:val="num" w:pos="1170"/>
        </w:tabs>
        <w:ind w:left="1170"/>
      </w:pPr>
      <w:r w:rsidRPr="00F5529C">
        <w:t xml:space="preserve">Actual wages of grantee employees if specified and documented; </w:t>
      </w:r>
    </w:p>
    <w:p w:rsidR="00062964" w:rsidRPr="00F5529C" w:rsidRDefault="00062964" w:rsidP="00062964">
      <w:pPr>
        <w:pStyle w:val="ListBullet2"/>
        <w:tabs>
          <w:tab w:val="clear" w:pos="720"/>
          <w:tab w:val="num" w:pos="1170"/>
        </w:tabs>
        <w:ind w:left="1170"/>
      </w:pPr>
      <w:r w:rsidRPr="00F5529C">
        <w:t>Fringe benefit costs, including employee taxes and insurance costs</w:t>
      </w:r>
    </w:p>
    <w:p w:rsidR="00485D9E" w:rsidRPr="00F5529C" w:rsidRDefault="00485D9E" w:rsidP="00485D9E">
      <w:pPr>
        <w:pStyle w:val="ListBullet2"/>
        <w:tabs>
          <w:tab w:val="clear" w:pos="720"/>
          <w:tab w:val="num" w:pos="1170"/>
        </w:tabs>
        <w:ind w:left="1170"/>
      </w:pPr>
      <w:r w:rsidRPr="00F5529C">
        <w:t>Indirect</w:t>
      </w:r>
      <w:r w:rsidR="00062964" w:rsidRPr="00F5529C">
        <w:t>:</w:t>
      </w:r>
      <w:r w:rsidRPr="00F5529C">
        <w:t xml:space="preserve"> </w:t>
      </w:r>
      <w:r w:rsidRPr="00F5529C">
        <w:br/>
      </w:r>
      <w:r w:rsidRPr="00F5529C">
        <w:rPr>
          <w:rFonts w:ascii="Calibri" w:hAnsi="Calibri"/>
        </w:rPr>
        <w:t>Indirect costs are incurred for a common or joint purpose benefiting more than one cost center or program area in the grantee organization, and are also referred to as shared or central services costs.  Indirect costs may be reflected in the budget as a percentage of compensation costs only if the basis of that allocation is demonstrated through submission of an approved federal indirect rate or through demonstration of the basis for that allocation rate and method used. Regardless of method, the applicant must indicate what items are included in the indirect cost amount.</w:t>
      </w:r>
      <w:r w:rsidRPr="00F5529C">
        <w:rPr>
          <w:rFonts w:ascii="Calibri" w:hAnsi="Calibri"/>
        </w:rPr>
        <w:br/>
      </w:r>
      <w:r w:rsidRPr="00F5529C">
        <w:rPr>
          <w:rFonts w:ascii="Calibri" w:hAnsi="Calibri"/>
        </w:rPr>
        <w:br/>
      </w:r>
      <w:r w:rsidRPr="00F5529C">
        <w:t>Indirect costs based upon a usage allocation rate are acceptable. Administrative and program support costs that are not covered by an allocation rate are direct program support costs.  Direct charges and items covered by the indirect allocation may not be the same items or services.  Indirect costs may include:</w:t>
      </w:r>
      <w:r w:rsidRPr="00F5529C">
        <w:br/>
      </w:r>
    </w:p>
    <w:p w:rsidR="00485D9E" w:rsidRPr="00F5529C" w:rsidRDefault="00485D9E" w:rsidP="00485D9E">
      <w:pPr>
        <w:pStyle w:val="ListBullet2"/>
        <w:numPr>
          <w:ilvl w:val="0"/>
          <w:numId w:val="44"/>
        </w:numPr>
        <w:tabs>
          <w:tab w:val="clear" w:pos="720"/>
          <w:tab w:val="num" w:pos="2160"/>
        </w:tabs>
        <w:ind w:left="2160"/>
        <w:contextualSpacing w:val="0"/>
      </w:pPr>
      <w:r w:rsidRPr="00F5529C">
        <w:t>Office supplies (office materials and supplies, maintenance, office utility costs and other related expenses, reasonable office rental fees)</w:t>
      </w:r>
    </w:p>
    <w:p w:rsidR="00485D9E" w:rsidRPr="00F5529C" w:rsidRDefault="00485D9E" w:rsidP="00485D9E">
      <w:pPr>
        <w:pStyle w:val="ListBullet2"/>
        <w:numPr>
          <w:ilvl w:val="0"/>
          <w:numId w:val="44"/>
        </w:numPr>
        <w:tabs>
          <w:tab w:val="clear" w:pos="720"/>
          <w:tab w:val="num" w:pos="2160"/>
        </w:tabs>
        <w:ind w:left="2160"/>
        <w:contextualSpacing w:val="0"/>
      </w:pPr>
      <w:r w:rsidRPr="00F5529C">
        <w:t>A portion or percentage of personnel costs for employees providing support services to the organization such as general administrative support services. </w:t>
      </w:r>
    </w:p>
    <w:p w:rsidR="00485D9E" w:rsidRPr="00F5529C" w:rsidRDefault="00485D9E" w:rsidP="00485D9E">
      <w:pPr>
        <w:pStyle w:val="ListBullet2"/>
        <w:numPr>
          <w:ilvl w:val="0"/>
          <w:numId w:val="44"/>
        </w:numPr>
        <w:tabs>
          <w:tab w:val="clear" w:pos="720"/>
          <w:tab w:val="num" w:pos="2160"/>
        </w:tabs>
        <w:ind w:left="2160"/>
        <w:contextualSpacing w:val="0"/>
      </w:pPr>
      <w:r w:rsidRPr="00F5529C">
        <w:t xml:space="preserve">Administrative expenses that are either reimbursable, chargeable to the project or included as part of the </w:t>
      </w:r>
      <w:proofErr w:type="spellStart"/>
      <w:r w:rsidRPr="00F5529C">
        <w:t>workplan</w:t>
      </w:r>
      <w:proofErr w:type="spellEnd"/>
      <w:r w:rsidRPr="00F5529C">
        <w:t xml:space="preserve"> must not exceed 10% of overall grant amount.</w:t>
      </w:r>
    </w:p>
    <w:p w:rsidR="00062964" w:rsidRPr="00F5529C" w:rsidRDefault="00062964" w:rsidP="00062964">
      <w:pPr>
        <w:pStyle w:val="Heading3"/>
        <w:numPr>
          <w:ilvl w:val="1"/>
          <w:numId w:val="13"/>
        </w:numPr>
        <w:ind w:left="1548"/>
        <w:rPr>
          <w:rFonts w:asciiTheme="minorHAnsi" w:eastAsiaTheme="minorEastAsia" w:hAnsiTheme="minorHAnsi" w:cstheme="minorBidi"/>
          <w:bCs w:val="0"/>
          <w:color w:val="auto"/>
        </w:rPr>
      </w:pPr>
      <w:bookmarkStart w:id="2" w:name="_Toc281401858"/>
      <w:r w:rsidRPr="00F5529C">
        <w:rPr>
          <w:rFonts w:asciiTheme="minorHAnsi" w:eastAsiaTheme="minorEastAsia" w:hAnsiTheme="minorHAnsi" w:cstheme="minorBidi"/>
          <w:bCs w:val="0"/>
          <w:color w:val="auto"/>
        </w:rPr>
        <w:t>Subcontracto</w:t>
      </w:r>
      <w:bookmarkEnd w:id="2"/>
      <w:r w:rsidRPr="00F5529C">
        <w:rPr>
          <w:rFonts w:asciiTheme="minorHAnsi" w:eastAsiaTheme="minorEastAsia" w:hAnsiTheme="minorHAnsi" w:cstheme="minorBidi"/>
          <w:bCs w:val="0"/>
          <w:color w:val="auto"/>
        </w:rPr>
        <w:t>rs</w:t>
      </w:r>
    </w:p>
    <w:p w:rsidR="00062964" w:rsidRPr="00F5529C" w:rsidRDefault="00062964" w:rsidP="00062964">
      <w:pPr>
        <w:ind w:left="450"/>
      </w:pPr>
      <w:r w:rsidRPr="00F5529C">
        <w:t>Subcontractor costs are actual costs for subcontractors, such as laboratories, as specifically approved by MPCA. Hourly rates and number of hours must be provided on the budget. Any subcontracts to environmental consultants should not include any hourly rates in excess of the MPCA Master Contractor rates (available upon request).</w:t>
      </w:r>
    </w:p>
    <w:p w:rsidR="00062964" w:rsidRPr="00F5529C" w:rsidRDefault="00062964" w:rsidP="00062964">
      <w:pPr>
        <w:pStyle w:val="Heading3"/>
        <w:numPr>
          <w:ilvl w:val="1"/>
          <w:numId w:val="13"/>
        </w:numPr>
        <w:ind w:left="1548"/>
        <w:rPr>
          <w:rFonts w:asciiTheme="minorHAnsi" w:eastAsiaTheme="minorEastAsia" w:hAnsiTheme="minorHAnsi" w:cstheme="minorBidi"/>
          <w:bCs w:val="0"/>
          <w:color w:val="auto"/>
        </w:rPr>
      </w:pPr>
      <w:bookmarkStart w:id="3" w:name="_Toc281401859"/>
      <w:r w:rsidRPr="00F5529C">
        <w:rPr>
          <w:rFonts w:asciiTheme="minorHAnsi" w:eastAsiaTheme="minorEastAsia" w:hAnsiTheme="minorHAnsi" w:cstheme="minorBidi"/>
          <w:bCs w:val="0"/>
          <w:color w:val="auto"/>
        </w:rPr>
        <w:lastRenderedPageBreak/>
        <w:t xml:space="preserve">Equipment </w:t>
      </w:r>
      <w:bookmarkEnd w:id="3"/>
    </w:p>
    <w:p w:rsidR="00062964" w:rsidRPr="00F5529C" w:rsidRDefault="00062964" w:rsidP="00062964">
      <w:pPr>
        <w:keepNext/>
        <w:ind w:left="450" w:right="720"/>
      </w:pPr>
      <w:r w:rsidRPr="00F5529C">
        <w:t xml:space="preserve">Equipment must be specific to accomplish </w:t>
      </w:r>
      <w:proofErr w:type="spellStart"/>
      <w:r w:rsidRPr="00F5529C">
        <w:t>Workplan</w:t>
      </w:r>
      <w:proofErr w:type="spellEnd"/>
      <w:r w:rsidRPr="00F5529C">
        <w:t xml:space="preserve"> duties and approved by the MPCA, including:</w:t>
      </w:r>
    </w:p>
    <w:p w:rsidR="00062964" w:rsidRPr="00F5529C" w:rsidRDefault="00062964" w:rsidP="00062964">
      <w:pPr>
        <w:pStyle w:val="ListBullet2"/>
        <w:keepNext/>
        <w:tabs>
          <w:tab w:val="clear" w:pos="720"/>
          <w:tab w:val="num" w:pos="1170"/>
        </w:tabs>
        <w:ind w:left="1170"/>
      </w:pPr>
      <w:r w:rsidRPr="00F5529C">
        <w:t xml:space="preserve">Field materials and supplies </w:t>
      </w:r>
    </w:p>
    <w:p w:rsidR="00062964" w:rsidRPr="00F5529C" w:rsidRDefault="00062964" w:rsidP="00062964">
      <w:pPr>
        <w:pStyle w:val="ListBullet2"/>
        <w:keepNext/>
        <w:tabs>
          <w:tab w:val="clear" w:pos="720"/>
          <w:tab w:val="num" w:pos="1170"/>
        </w:tabs>
        <w:ind w:left="1170"/>
      </w:pPr>
      <w:r w:rsidRPr="00F5529C">
        <w:t xml:space="preserve">Rental of audio visual equipment, as related to the project and approved in the </w:t>
      </w:r>
      <w:proofErr w:type="spellStart"/>
      <w:r w:rsidRPr="00F5529C">
        <w:t>Workplan</w:t>
      </w:r>
      <w:proofErr w:type="spellEnd"/>
      <w:r w:rsidRPr="00F5529C">
        <w:t>;</w:t>
      </w:r>
    </w:p>
    <w:p w:rsidR="00062964" w:rsidRPr="00F5529C" w:rsidRDefault="00062964" w:rsidP="00062964">
      <w:pPr>
        <w:pStyle w:val="ListBullet2"/>
        <w:keepNext/>
        <w:tabs>
          <w:tab w:val="clear" w:pos="720"/>
          <w:tab w:val="num" w:pos="1170"/>
        </w:tabs>
        <w:ind w:left="1170"/>
      </w:pPr>
      <w:r w:rsidRPr="00F5529C">
        <w:t>[Rental of boats/canoes, if applicable.]</w:t>
      </w:r>
    </w:p>
    <w:p w:rsidR="00062964" w:rsidRPr="00F5529C" w:rsidRDefault="00062964" w:rsidP="00062964">
      <w:pPr>
        <w:pStyle w:val="Heading3"/>
        <w:numPr>
          <w:ilvl w:val="1"/>
          <w:numId w:val="13"/>
        </w:numPr>
        <w:ind w:left="1548"/>
        <w:rPr>
          <w:rFonts w:asciiTheme="minorHAnsi" w:eastAsiaTheme="minorEastAsia" w:hAnsiTheme="minorHAnsi" w:cstheme="minorBidi"/>
          <w:bCs w:val="0"/>
          <w:color w:val="auto"/>
        </w:rPr>
      </w:pPr>
      <w:bookmarkStart w:id="4" w:name="_Toc281401860"/>
      <w:r w:rsidRPr="00F5529C">
        <w:rPr>
          <w:rFonts w:asciiTheme="minorHAnsi" w:eastAsiaTheme="minorEastAsia" w:hAnsiTheme="minorHAnsi" w:cstheme="minorBidi"/>
          <w:bCs w:val="0"/>
          <w:color w:val="auto"/>
        </w:rPr>
        <w:t xml:space="preserve">Other </w:t>
      </w:r>
      <w:bookmarkEnd w:id="4"/>
    </w:p>
    <w:p w:rsidR="00062964" w:rsidRPr="00F5529C" w:rsidRDefault="00062964" w:rsidP="00062964">
      <w:pPr>
        <w:ind w:left="450" w:right="720"/>
        <w:rPr>
          <w:b/>
        </w:rPr>
      </w:pPr>
      <w:r w:rsidRPr="00F5529C">
        <w:t>Other eligible expenses that must be itemized in the budget include:</w:t>
      </w:r>
    </w:p>
    <w:p w:rsidR="00062964" w:rsidRPr="00F5529C" w:rsidRDefault="00062964" w:rsidP="00062964">
      <w:pPr>
        <w:pStyle w:val="ListBullet2"/>
        <w:tabs>
          <w:tab w:val="clear" w:pos="720"/>
          <w:tab w:val="num" w:pos="1170"/>
        </w:tabs>
        <w:ind w:left="1170"/>
      </w:pPr>
      <w:r w:rsidRPr="00F5529C">
        <w:t>Shipping, postage, and related expenses</w:t>
      </w:r>
    </w:p>
    <w:p w:rsidR="00062964" w:rsidRPr="00F5529C" w:rsidRDefault="00062964" w:rsidP="00062964">
      <w:pPr>
        <w:pStyle w:val="ListBullet2"/>
        <w:tabs>
          <w:tab w:val="clear" w:pos="720"/>
          <w:tab w:val="num" w:pos="1170"/>
        </w:tabs>
        <w:ind w:left="1170"/>
      </w:pPr>
      <w:r w:rsidRPr="00F5529C">
        <w:t xml:space="preserve">Production and distribution of publications and periodicals relating to accomplishing </w:t>
      </w:r>
      <w:proofErr w:type="spellStart"/>
      <w:r w:rsidRPr="00F5529C">
        <w:t>Workplan</w:t>
      </w:r>
      <w:proofErr w:type="spellEnd"/>
      <w:r w:rsidRPr="00F5529C">
        <w:t xml:space="preserve"> activities, with an emphasis upon using electronic methods to accomplish tasks</w:t>
      </w:r>
    </w:p>
    <w:p w:rsidR="00062964" w:rsidRPr="00F5529C" w:rsidRDefault="00062964" w:rsidP="00062964">
      <w:pPr>
        <w:pStyle w:val="ListBullet2"/>
        <w:tabs>
          <w:tab w:val="clear" w:pos="720"/>
          <w:tab w:val="num" w:pos="1170"/>
        </w:tabs>
        <w:ind w:left="1170"/>
      </w:pPr>
      <w:r w:rsidRPr="00F5529C">
        <w:t xml:space="preserve">In-state transportation and travel expenses (such as lodging, meals and mileage) of personnel approved in the </w:t>
      </w:r>
      <w:proofErr w:type="spellStart"/>
      <w:r w:rsidRPr="00F5529C">
        <w:t>Workplan</w:t>
      </w:r>
      <w:proofErr w:type="spellEnd"/>
      <w:r w:rsidRPr="00F5529C">
        <w:t xml:space="preserve"> in the same manner and in no greater amount than provided for in the current “Commissioner’s Plan” in force at the time of the expenditure and promulgated by the Commissioner of Minnesota Management &amp; Budget (</w:t>
      </w:r>
      <w:hyperlink r:id="rId8" w:history="1">
        <w:r w:rsidRPr="00F5529C">
          <w:rPr>
            <w:rStyle w:val="Hyperlink"/>
            <w:color w:val="auto"/>
          </w:rPr>
          <w:t>http://www.mmd.admin.state.mn.us/commissionersplan.htm</w:t>
        </w:r>
      </w:hyperlink>
      <w:r w:rsidRPr="00F5529C">
        <w:t xml:space="preserve">). </w:t>
      </w:r>
    </w:p>
    <w:p w:rsidR="00062964" w:rsidRPr="00F5529C" w:rsidRDefault="00062964" w:rsidP="00062964">
      <w:pPr>
        <w:pStyle w:val="ListBullet2"/>
        <w:tabs>
          <w:tab w:val="clear" w:pos="720"/>
          <w:tab w:val="num" w:pos="1170"/>
        </w:tabs>
        <w:ind w:left="1170"/>
      </w:pPr>
      <w:r w:rsidRPr="00F5529C">
        <w:t>Training and materials (requires MPCA approval)</w:t>
      </w:r>
    </w:p>
    <w:p w:rsidR="00062964" w:rsidRPr="00F5529C" w:rsidRDefault="00062964" w:rsidP="00062964">
      <w:pPr>
        <w:pStyle w:val="ListBullet2"/>
        <w:tabs>
          <w:tab w:val="clear" w:pos="720"/>
          <w:tab w:val="num" w:pos="1170"/>
        </w:tabs>
        <w:ind w:left="1170"/>
      </w:pPr>
      <w:r w:rsidRPr="00F5529C">
        <w:t xml:space="preserve">Advertising costs related to the project and approved in the </w:t>
      </w:r>
      <w:proofErr w:type="spellStart"/>
      <w:r w:rsidRPr="00F5529C">
        <w:t>Workplan</w:t>
      </w:r>
      <w:proofErr w:type="spellEnd"/>
    </w:p>
    <w:p w:rsidR="00062964" w:rsidRPr="00F5529C" w:rsidRDefault="00062964" w:rsidP="00062964">
      <w:pPr>
        <w:pStyle w:val="Heading3"/>
        <w:numPr>
          <w:ilvl w:val="0"/>
          <w:numId w:val="38"/>
        </w:numPr>
        <w:ind w:left="810"/>
        <w:rPr>
          <w:rFonts w:asciiTheme="minorHAnsi" w:eastAsiaTheme="minorEastAsia" w:hAnsiTheme="minorHAnsi" w:cstheme="minorBidi"/>
          <w:color w:val="auto"/>
        </w:rPr>
      </w:pPr>
      <w:bookmarkStart w:id="5" w:name="_Toc281401861"/>
      <w:r w:rsidRPr="00F5529C">
        <w:rPr>
          <w:rFonts w:asciiTheme="minorHAnsi" w:eastAsiaTheme="minorEastAsia" w:hAnsiTheme="minorHAnsi" w:cstheme="minorBidi"/>
          <w:color w:val="auto"/>
        </w:rPr>
        <w:t>Ineligible expenses</w:t>
      </w:r>
      <w:bookmarkEnd w:id="5"/>
      <w:r w:rsidRPr="00F5529C">
        <w:rPr>
          <w:rFonts w:asciiTheme="minorHAnsi" w:eastAsiaTheme="minorEastAsia" w:hAnsiTheme="minorHAnsi" w:cstheme="minorBidi"/>
          <w:color w:val="auto"/>
        </w:rPr>
        <w:t xml:space="preserve"> </w:t>
      </w:r>
    </w:p>
    <w:p w:rsidR="00062964" w:rsidRPr="00F5529C" w:rsidRDefault="00062964" w:rsidP="00062964">
      <w:r w:rsidRPr="00F5529C">
        <w:t>Expenses which are ineligible for reimbursement include, but are not limited to:</w:t>
      </w:r>
    </w:p>
    <w:p w:rsidR="00062964" w:rsidRPr="00F5529C" w:rsidRDefault="00062964" w:rsidP="00062964">
      <w:pPr>
        <w:pStyle w:val="ListBullet2"/>
      </w:pPr>
      <w:r w:rsidRPr="00F5529C">
        <w:t xml:space="preserve">Any expenses incurred before the contract is fully executed [unless specifically allowed] (including applicant’s expense for preparing the </w:t>
      </w:r>
      <w:proofErr w:type="spellStart"/>
      <w:r w:rsidRPr="00F5529C">
        <w:t>Workplan</w:t>
      </w:r>
      <w:proofErr w:type="spellEnd"/>
      <w:r w:rsidRPr="00F5529C">
        <w:t>/budget)</w:t>
      </w:r>
    </w:p>
    <w:p w:rsidR="00062964" w:rsidRPr="00F5529C" w:rsidRDefault="00062964" w:rsidP="00062964">
      <w:pPr>
        <w:pStyle w:val="ListBullet2"/>
      </w:pPr>
      <w:r w:rsidRPr="00F5529C">
        <w:t>Bad debts, late payment fees, finance charges or contingency funds, interest, and investment management fees</w:t>
      </w:r>
    </w:p>
    <w:p w:rsidR="00062964" w:rsidRPr="00F5529C" w:rsidRDefault="00062964" w:rsidP="00062964">
      <w:pPr>
        <w:pStyle w:val="ListBullet2"/>
      </w:pPr>
      <w:r w:rsidRPr="00F5529C">
        <w:t>Attorney fees</w:t>
      </w:r>
    </w:p>
    <w:p w:rsidR="00062964" w:rsidRPr="00F5529C" w:rsidRDefault="00062964" w:rsidP="00062964">
      <w:pPr>
        <w:pStyle w:val="ListBullet2"/>
      </w:pPr>
      <w:r w:rsidRPr="00F5529C">
        <w:t>Expenses for preparing proposals in response to this or other RFPs</w:t>
      </w:r>
    </w:p>
    <w:p w:rsidR="00062964" w:rsidRPr="00F5529C" w:rsidRDefault="00062964" w:rsidP="00062964">
      <w:pPr>
        <w:pStyle w:val="ListBullet2"/>
      </w:pPr>
      <w:r w:rsidRPr="00F5529C">
        <w:t>Employee worksite parking</w:t>
      </w:r>
    </w:p>
    <w:p w:rsidR="00062964" w:rsidRPr="00F5529C" w:rsidRDefault="00062964" w:rsidP="00062964">
      <w:pPr>
        <w:pStyle w:val="ListBullet2"/>
      </w:pPr>
      <w:r w:rsidRPr="00F5529C">
        <w:t>Excessive administrative expenses</w:t>
      </w:r>
    </w:p>
    <w:p w:rsidR="00062964" w:rsidRPr="00F5529C" w:rsidRDefault="00062964" w:rsidP="00062964">
      <w:pPr>
        <w:pStyle w:val="ListBullet2"/>
      </w:pPr>
      <w:r w:rsidRPr="00F5529C">
        <w:t>Lobbying, lobbyists and political contributions</w:t>
      </w:r>
    </w:p>
    <w:p w:rsidR="00062964" w:rsidRPr="00F5529C" w:rsidRDefault="00062964" w:rsidP="00062964">
      <w:pPr>
        <w:pStyle w:val="ListBullet2"/>
      </w:pPr>
      <w:r w:rsidRPr="00F5529C">
        <w:t>Mark-up on purchases and/or subcontracts</w:t>
      </w:r>
    </w:p>
    <w:p w:rsidR="00062964" w:rsidRPr="00F5529C" w:rsidRDefault="00062964" w:rsidP="00062964">
      <w:pPr>
        <w:pStyle w:val="ListBullet2"/>
      </w:pPr>
      <w:r w:rsidRPr="00F5529C">
        <w:t>Taxes, except sales tax on eligible goods and services</w:t>
      </w:r>
    </w:p>
    <w:p w:rsidR="00062964" w:rsidRPr="00F5529C" w:rsidRDefault="00062964" w:rsidP="00062964">
      <w:pPr>
        <w:pStyle w:val="ListBullet2"/>
      </w:pPr>
      <w:r w:rsidRPr="00F5529C">
        <w:t>Activities addressing permit fees</w:t>
      </w:r>
    </w:p>
    <w:p w:rsidR="00062964" w:rsidRPr="00F5529C" w:rsidRDefault="00062964" w:rsidP="00062964">
      <w:pPr>
        <w:pStyle w:val="ListBullet2"/>
      </w:pPr>
      <w:r w:rsidRPr="00F5529C">
        <w:t>Activities addressing enforcement actions that involve a financial penalty</w:t>
      </w:r>
    </w:p>
    <w:p w:rsidR="00062964" w:rsidRPr="00F5529C" w:rsidRDefault="00062964" w:rsidP="00062964">
      <w:pPr>
        <w:pStyle w:val="ListBullet2"/>
      </w:pPr>
      <w:r w:rsidRPr="00F5529C">
        <w:t>Memberships (including subscriptions and dues)</w:t>
      </w:r>
    </w:p>
    <w:p w:rsidR="00062964" w:rsidRPr="006B43F5" w:rsidRDefault="00062964" w:rsidP="00062964">
      <w:pPr>
        <w:pStyle w:val="ListBullet2"/>
        <w:rPr>
          <w:highlight w:val="yellow"/>
        </w:rPr>
      </w:pPr>
      <w:r w:rsidRPr="006B43F5">
        <w:rPr>
          <w:highlight w:val="yellow"/>
        </w:rPr>
        <w:t>Reimbursement to non-staff stakeholders for their attendance at stakeholder participation meetings</w:t>
      </w:r>
    </w:p>
    <w:p w:rsidR="00062964" w:rsidRPr="00F5529C" w:rsidRDefault="00062964" w:rsidP="00062964">
      <w:pPr>
        <w:pStyle w:val="ListBullet2"/>
      </w:pPr>
      <w:r w:rsidRPr="00F5529C">
        <w:t>Food (other than staff per diem)</w:t>
      </w:r>
    </w:p>
    <w:p w:rsidR="00062964" w:rsidRPr="00F5529C" w:rsidRDefault="00062964" w:rsidP="00062964">
      <w:pPr>
        <w:pStyle w:val="ListBullet2"/>
      </w:pPr>
      <w:r w:rsidRPr="00F5529C">
        <w:t>Entertainment, gifts, prizes and decorations</w:t>
      </w:r>
    </w:p>
    <w:p w:rsidR="00062964" w:rsidRPr="00F5529C" w:rsidRDefault="00062964" w:rsidP="00062964">
      <w:pPr>
        <w:pStyle w:val="ListBullet2"/>
      </w:pPr>
      <w:r w:rsidRPr="00F5529C">
        <w:t>Merit awards and bonuses</w:t>
      </w:r>
    </w:p>
    <w:p w:rsidR="00062964" w:rsidRPr="00F5529C" w:rsidRDefault="00062964" w:rsidP="00062964">
      <w:pPr>
        <w:pStyle w:val="ListBullet2"/>
      </w:pPr>
      <w:r w:rsidRPr="00F5529C">
        <w:t>Donations and fundraising</w:t>
      </w:r>
    </w:p>
    <w:p w:rsidR="00062964" w:rsidRPr="00F5529C" w:rsidRDefault="00062964" w:rsidP="00062964">
      <w:pPr>
        <w:pStyle w:val="ListBullet2"/>
      </w:pPr>
      <w:r w:rsidRPr="00F5529C">
        <w:t>Computer(s) and software, unless unique to the project and specifically approved by the MPCA</w:t>
      </w:r>
    </w:p>
    <w:p w:rsidR="00062964" w:rsidRPr="00F5529C" w:rsidRDefault="00062964" w:rsidP="00062964">
      <w:pPr>
        <w:pStyle w:val="ListBullet2"/>
      </w:pPr>
      <w:r w:rsidRPr="00F5529C">
        <w:t>Purchase or rental of mobile communication devices such as pagers, cell phones, and personal data assistants (PDAs)</w:t>
      </w:r>
    </w:p>
    <w:p w:rsidR="00062964" w:rsidRPr="00F5529C" w:rsidRDefault="00062964" w:rsidP="009F6FFE">
      <w:pPr>
        <w:jc w:val="center"/>
      </w:pPr>
    </w:p>
    <w:p w:rsidR="00062964" w:rsidRDefault="00062964" w:rsidP="00062964">
      <w:pPr>
        <w:spacing w:after="0"/>
        <w:ind w:right="720"/>
      </w:pPr>
    </w:p>
    <w:sectPr w:rsidR="00062964" w:rsidSect="000944A9">
      <w:footerReference w:type="even" r:id="rId9"/>
      <w:footerReference w:type="default" r:id="rId10"/>
      <w:pgSz w:w="12240" w:h="15840" w:code="1"/>
      <w:pgMar w:top="432" w:right="432" w:bottom="432" w:left="43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BB" w:rsidRDefault="006F5CBB">
      <w:r>
        <w:separator/>
      </w:r>
    </w:p>
  </w:endnote>
  <w:endnote w:type="continuationSeparator" w:id="0">
    <w:p w:rsidR="006F5CBB" w:rsidRDefault="006F5C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BB" w:rsidRDefault="00FE686D" w:rsidP="003519F2">
    <w:pPr>
      <w:pStyle w:val="Footer"/>
      <w:framePr w:wrap="around" w:vAnchor="text" w:hAnchor="margin" w:xAlign="right" w:y="1"/>
      <w:rPr>
        <w:rStyle w:val="PageNumber"/>
      </w:rPr>
    </w:pPr>
    <w:r>
      <w:rPr>
        <w:rStyle w:val="PageNumber"/>
      </w:rPr>
      <w:fldChar w:fldCharType="begin"/>
    </w:r>
    <w:r w:rsidR="006F5CBB">
      <w:rPr>
        <w:rStyle w:val="PageNumber"/>
      </w:rPr>
      <w:instrText xml:space="preserve">PAGE  </w:instrText>
    </w:r>
    <w:r>
      <w:rPr>
        <w:rStyle w:val="PageNumber"/>
      </w:rPr>
      <w:fldChar w:fldCharType="end"/>
    </w:r>
  </w:p>
  <w:p w:rsidR="006F5CBB" w:rsidRDefault="006F5CBB" w:rsidP="003519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CBB" w:rsidRDefault="00FE686D" w:rsidP="003519F2">
    <w:pPr>
      <w:pStyle w:val="Footer"/>
      <w:framePr w:wrap="around" w:vAnchor="text" w:hAnchor="margin" w:xAlign="right" w:y="1"/>
      <w:rPr>
        <w:rStyle w:val="PageNumber"/>
      </w:rPr>
    </w:pPr>
    <w:r>
      <w:rPr>
        <w:rStyle w:val="PageNumber"/>
      </w:rPr>
      <w:fldChar w:fldCharType="begin"/>
    </w:r>
    <w:r w:rsidR="006F5CBB">
      <w:rPr>
        <w:rStyle w:val="PageNumber"/>
      </w:rPr>
      <w:instrText xml:space="preserve">PAGE  </w:instrText>
    </w:r>
    <w:r>
      <w:rPr>
        <w:rStyle w:val="PageNumber"/>
      </w:rPr>
      <w:fldChar w:fldCharType="separate"/>
    </w:r>
    <w:r w:rsidR="00224DB0">
      <w:rPr>
        <w:rStyle w:val="PageNumber"/>
        <w:noProof/>
      </w:rPr>
      <w:t>2</w:t>
    </w:r>
    <w:r>
      <w:rPr>
        <w:rStyle w:val="PageNumber"/>
      </w:rPr>
      <w:fldChar w:fldCharType="end"/>
    </w:r>
  </w:p>
  <w:p w:rsidR="006F5CBB" w:rsidRDefault="006F5CBB" w:rsidP="003519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BB" w:rsidRDefault="006F5CBB">
      <w:r>
        <w:separator/>
      </w:r>
    </w:p>
  </w:footnote>
  <w:footnote w:type="continuationSeparator" w:id="0">
    <w:p w:rsidR="006F5CBB" w:rsidRDefault="006F5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7A4F59A"/>
    <w:lvl w:ilvl="0">
      <w:start w:val="1"/>
      <w:numFmt w:val="decimal"/>
      <w:pStyle w:val="ListNumber2"/>
      <w:lvlText w:val="%1."/>
      <w:lvlJc w:val="left"/>
      <w:pPr>
        <w:tabs>
          <w:tab w:val="num" w:pos="720"/>
        </w:tabs>
        <w:ind w:left="720" w:hanging="360"/>
      </w:pPr>
    </w:lvl>
  </w:abstractNum>
  <w:abstractNum w:abstractNumId="1">
    <w:nsid w:val="FFFFFF80"/>
    <w:multiLevelType w:val="singleLevel"/>
    <w:tmpl w:val="FFE805B6"/>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CD1C67A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B6709C44"/>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67FA47F6"/>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96629ACC"/>
    <w:lvl w:ilvl="0">
      <w:start w:val="1"/>
      <w:numFmt w:val="decimal"/>
      <w:pStyle w:val="ListNumber"/>
      <w:lvlText w:val="%1."/>
      <w:lvlJc w:val="left"/>
      <w:pPr>
        <w:tabs>
          <w:tab w:val="num" w:pos="360"/>
        </w:tabs>
        <w:ind w:left="360" w:hanging="360"/>
      </w:pPr>
    </w:lvl>
  </w:abstractNum>
  <w:abstractNum w:abstractNumId="6">
    <w:nsid w:val="FFFFFFFE"/>
    <w:multiLevelType w:val="singleLevel"/>
    <w:tmpl w:val="145434A8"/>
    <w:lvl w:ilvl="0">
      <w:numFmt w:val="bullet"/>
      <w:lvlText w:val="*"/>
      <w:lvlJc w:val="left"/>
    </w:lvl>
  </w:abstractNum>
  <w:abstractNum w:abstractNumId="7">
    <w:nsid w:val="0AF86F84"/>
    <w:multiLevelType w:val="multilevel"/>
    <w:tmpl w:val="E3B8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DBC2633"/>
    <w:multiLevelType w:val="hybridMultilevel"/>
    <w:tmpl w:val="50043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B56A0C"/>
    <w:multiLevelType w:val="hybridMultilevel"/>
    <w:tmpl w:val="4BC65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F556F"/>
    <w:multiLevelType w:val="hybridMultilevel"/>
    <w:tmpl w:val="3C087B7A"/>
    <w:lvl w:ilvl="0" w:tplc="04090015">
      <w:start w:val="1"/>
      <w:numFmt w:val="upperLetter"/>
      <w:lvlText w:val="%1."/>
      <w:lvlJc w:val="left"/>
      <w:pPr>
        <w:ind w:left="378" w:hanging="360"/>
      </w:pPr>
    </w:lvl>
    <w:lvl w:ilvl="1" w:tplc="0409000F">
      <w:start w:val="1"/>
      <w:numFmt w:val="decimal"/>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1">
    <w:nsid w:val="10943020"/>
    <w:multiLevelType w:val="hybridMultilevel"/>
    <w:tmpl w:val="2EBEA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62138"/>
    <w:multiLevelType w:val="singleLevel"/>
    <w:tmpl w:val="582C26B6"/>
    <w:lvl w:ilvl="0">
      <w:start w:val="1"/>
      <w:numFmt w:val="upperLetter"/>
      <w:lvlText w:val="%1."/>
      <w:legacy w:legacy="1" w:legacySpace="0" w:legacyIndent="360"/>
      <w:lvlJc w:val="left"/>
      <w:pPr>
        <w:ind w:left="360" w:hanging="360"/>
      </w:pPr>
    </w:lvl>
  </w:abstractNum>
  <w:abstractNum w:abstractNumId="13">
    <w:nsid w:val="13694F08"/>
    <w:multiLevelType w:val="hybridMultilevel"/>
    <w:tmpl w:val="79CE7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0774AA"/>
    <w:multiLevelType w:val="hybridMultilevel"/>
    <w:tmpl w:val="E75A0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EF0AEB"/>
    <w:multiLevelType w:val="hybridMultilevel"/>
    <w:tmpl w:val="5004366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A421F1B"/>
    <w:multiLevelType w:val="hybridMultilevel"/>
    <w:tmpl w:val="F32C66C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1CDA1F08"/>
    <w:multiLevelType w:val="hybridMultilevel"/>
    <w:tmpl w:val="4BA0B3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D28E5"/>
    <w:multiLevelType w:val="hybridMultilevel"/>
    <w:tmpl w:val="26CE34C8"/>
    <w:lvl w:ilvl="0" w:tplc="4E14ABD8">
      <w:start w:val="6"/>
      <w:numFmt w:val="decimal"/>
      <w:lvlText w:val="%1."/>
      <w:lvlJc w:val="left"/>
      <w:pPr>
        <w:tabs>
          <w:tab w:val="num" w:pos="450"/>
        </w:tabs>
        <w:ind w:left="450" w:hanging="360"/>
      </w:pPr>
      <w:rPr>
        <w:rFonts w:hint="default"/>
        <w:sz w:val="28"/>
        <w:szCs w:val="28"/>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nsid w:val="32E24768"/>
    <w:multiLevelType w:val="singleLevel"/>
    <w:tmpl w:val="357E9F1E"/>
    <w:lvl w:ilvl="0">
      <w:start w:val="3"/>
      <w:numFmt w:val="decimal"/>
      <w:lvlText w:val="%1."/>
      <w:legacy w:legacy="1" w:legacySpace="120" w:legacyIndent="360"/>
      <w:lvlJc w:val="left"/>
      <w:pPr>
        <w:ind w:left="450" w:hanging="360"/>
      </w:pPr>
      <w:rPr>
        <w:b/>
        <w:i w:val="0"/>
        <w:color w:val="000000"/>
        <w:sz w:val="28"/>
      </w:rPr>
    </w:lvl>
  </w:abstractNum>
  <w:abstractNum w:abstractNumId="20">
    <w:nsid w:val="4355553F"/>
    <w:multiLevelType w:val="hybridMultilevel"/>
    <w:tmpl w:val="4C70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344447"/>
    <w:multiLevelType w:val="singleLevel"/>
    <w:tmpl w:val="582C26B6"/>
    <w:lvl w:ilvl="0">
      <w:start w:val="1"/>
      <w:numFmt w:val="upperLetter"/>
      <w:lvlText w:val="%1."/>
      <w:legacy w:legacy="1" w:legacySpace="0" w:legacyIndent="360"/>
      <w:lvlJc w:val="left"/>
      <w:pPr>
        <w:ind w:left="360" w:hanging="360"/>
      </w:pPr>
    </w:lvl>
  </w:abstractNum>
  <w:abstractNum w:abstractNumId="22">
    <w:nsid w:val="45AA5CB1"/>
    <w:multiLevelType w:val="hybridMultilevel"/>
    <w:tmpl w:val="C102EDB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AA3503"/>
    <w:multiLevelType w:val="multilevel"/>
    <w:tmpl w:val="B89E13F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860"/>
        </w:tabs>
        <w:ind w:left="1860" w:hanging="780"/>
      </w:pPr>
      <w:rPr>
        <w:rFonts w:hint="default"/>
        <w:b w:val="0"/>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FB4230"/>
    <w:multiLevelType w:val="hybridMultilevel"/>
    <w:tmpl w:val="3D94C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0416B4"/>
    <w:multiLevelType w:val="hybridMultilevel"/>
    <w:tmpl w:val="792C0762"/>
    <w:lvl w:ilvl="0" w:tplc="04090005">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1E929AD"/>
    <w:multiLevelType w:val="hybridMultilevel"/>
    <w:tmpl w:val="048CC308"/>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7">
    <w:nsid w:val="539D6F9D"/>
    <w:multiLevelType w:val="hybridMultilevel"/>
    <w:tmpl w:val="6818C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34B7E"/>
    <w:multiLevelType w:val="multilevel"/>
    <w:tmpl w:val="439E5912"/>
    <w:lvl w:ilvl="0">
      <w:start w:val="1"/>
      <w:numFmt w:val="upperRoman"/>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96960E2"/>
    <w:multiLevelType w:val="hybridMultilevel"/>
    <w:tmpl w:val="3C087B7A"/>
    <w:lvl w:ilvl="0" w:tplc="04090015">
      <w:start w:val="1"/>
      <w:numFmt w:val="upperLetter"/>
      <w:lvlText w:val="%1."/>
      <w:lvlJc w:val="left"/>
      <w:pPr>
        <w:ind w:left="378" w:hanging="360"/>
      </w:pPr>
    </w:lvl>
    <w:lvl w:ilvl="1" w:tplc="0409000F">
      <w:start w:val="1"/>
      <w:numFmt w:val="decimal"/>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0">
    <w:nsid w:val="5A140D93"/>
    <w:multiLevelType w:val="hybridMultilevel"/>
    <w:tmpl w:val="F4FE6FBC"/>
    <w:lvl w:ilvl="0" w:tplc="0409000F">
      <w:start w:val="1"/>
      <w:numFmt w:val="decimal"/>
      <w:lvlText w:val="%1."/>
      <w:lvlJc w:val="lef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5ABA4961"/>
    <w:multiLevelType w:val="hybridMultilevel"/>
    <w:tmpl w:val="3C087B7A"/>
    <w:lvl w:ilvl="0" w:tplc="04090015">
      <w:start w:val="1"/>
      <w:numFmt w:val="upperLetter"/>
      <w:lvlText w:val="%1."/>
      <w:lvlJc w:val="left"/>
      <w:pPr>
        <w:ind w:left="378" w:hanging="360"/>
      </w:pPr>
    </w:lvl>
    <w:lvl w:ilvl="1" w:tplc="0409000F">
      <w:start w:val="1"/>
      <w:numFmt w:val="decimal"/>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2">
    <w:nsid w:val="5B1D2405"/>
    <w:multiLevelType w:val="hybridMultilevel"/>
    <w:tmpl w:val="DA8EF9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F6453CE"/>
    <w:multiLevelType w:val="hybridMultilevel"/>
    <w:tmpl w:val="532ADF8A"/>
    <w:lvl w:ilvl="0" w:tplc="5C94EE0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67F88"/>
    <w:multiLevelType w:val="hybridMultilevel"/>
    <w:tmpl w:val="87C2A8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586833"/>
    <w:multiLevelType w:val="multilevel"/>
    <w:tmpl w:val="753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415FAA"/>
    <w:multiLevelType w:val="hybridMultilevel"/>
    <w:tmpl w:val="2E48D21C"/>
    <w:lvl w:ilvl="0" w:tplc="5D502F8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nsid w:val="79603668"/>
    <w:multiLevelType w:val="hybridMultilevel"/>
    <w:tmpl w:val="06345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9520A9"/>
    <w:multiLevelType w:val="hybridMultilevel"/>
    <w:tmpl w:val="547690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027834"/>
    <w:multiLevelType w:val="multilevel"/>
    <w:tmpl w:val="6EEA7D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4"/>
  </w:num>
  <w:num w:numId="3">
    <w:abstractNumId w:val="5"/>
  </w:num>
  <w:num w:numId="4">
    <w:abstractNumId w:val="0"/>
  </w:num>
  <w:num w:numId="5">
    <w:abstractNumId w:val="27"/>
  </w:num>
  <w:num w:numId="6">
    <w:abstractNumId w:val="9"/>
  </w:num>
  <w:num w:numId="7">
    <w:abstractNumId w:val="38"/>
  </w:num>
  <w:num w:numId="8">
    <w:abstractNumId w:val="37"/>
  </w:num>
  <w:num w:numId="9">
    <w:abstractNumId w:val="28"/>
  </w:num>
  <w:num w:numId="10">
    <w:abstractNumId w:val="14"/>
  </w:num>
  <w:num w:numId="11">
    <w:abstractNumId w:val="20"/>
  </w:num>
  <w:num w:numId="12">
    <w:abstractNumId w:val="31"/>
  </w:num>
  <w:num w:numId="13">
    <w:abstractNumId w:val="10"/>
  </w:num>
  <w:num w:numId="14">
    <w:abstractNumId w:val="13"/>
  </w:num>
  <w:num w:numId="15">
    <w:abstractNumId w:val="6"/>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21"/>
  </w:num>
  <w:num w:numId="17">
    <w:abstractNumId w:val="19"/>
  </w:num>
  <w:num w:numId="18">
    <w:abstractNumId w:val="24"/>
  </w:num>
  <w:num w:numId="19">
    <w:abstractNumId w:val="34"/>
  </w:num>
  <w:num w:numId="20">
    <w:abstractNumId w:val="22"/>
  </w:num>
  <w:num w:numId="21">
    <w:abstractNumId w:val="35"/>
  </w:num>
  <w:num w:numId="22">
    <w:abstractNumId w:val="23"/>
  </w:num>
  <w:num w:numId="23">
    <w:abstractNumId w:val="7"/>
  </w:num>
  <w:num w:numId="24">
    <w:abstractNumId w:val="32"/>
  </w:num>
  <w:num w:numId="25">
    <w:abstractNumId w:val="18"/>
  </w:num>
  <w:num w:numId="26">
    <w:abstractNumId w:val="26"/>
  </w:num>
  <w:num w:numId="27">
    <w:abstractNumId w:val="3"/>
  </w:num>
  <w:num w:numId="28">
    <w:abstractNumId w:val="2"/>
  </w:num>
  <w:num w:numId="29">
    <w:abstractNumId w:val="1"/>
  </w:num>
  <w:num w:numId="30">
    <w:abstractNumId w:val="33"/>
  </w:num>
  <w:num w:numId="31">
    <w:abstractNumId w:val="17"/>
  </w:num>
  <w:num w:numId="32">
    <w:abstractNumId w:val="39"/>
  </w:num>
  <w:num w:numId="33">
    <w:abstractNumId w:val="4"/>
  </w:num>
  <w:num w:numId="34">
    <w:abstractNumId w:val="4"/>
  </w:num>
  <w:num w:numId="35">
    <w:abstractNumId w:val="15"/>
  </w:num>
  <w:num w:numId="36">
    <w:abstractNumId w:val="8"/>
  </w:num>
  <w:num w:numId="37">
    <w:abstractNumId w:val="25"/>
  </w:num>
  <w:num w:numId="38">
    <w:abstractNumId w:val="36"/>
  </w:num>
  <w:num w:numId="39">
    <w:abstractNumId w:val="12"/>
  </w:num>
  <w:num w:numId="40">
    <w:abstractNumId w:val="16"/>
  </w:num>
  <w:num w:numId="41">
    <w:abstractNumId w:val="11"/>
  </w:num>
  <w:num w:numId="42">
    <w:abstractNumId w:val="30"/>
  </w:num>
  <w:num w:numId="43">
    <w:abstractNumId w:val="4"/>
  </w:num>
  <w:num w:numId="44">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defaultTabStop w:val="720"/>
  <w:drawingGridHorizontalSpacing w:val="11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
  <w:rsids>
    <w:rsidRoot w:val="005F7EDD"/>
    <w:rsid w:val="000005D1"/>
    <w:rsid w:val="00007ADB"/>
    <w:rsid w:val="00014B53"/>
    <w:rsid w:val="00014EB3"/>
    <w:rsid w:val="00017242"/>
    <w:rsid w:val="00021CAE"/>
    <w:rsid w:val="00022083"/>
    <w:rsid w:val="00022B7C"/>
    <w:rsid w:val="000235BD"/>
    <w:rsid w:val="000255C2"/>
    <w:rsid w:val="000255CB"/>
    <w:rsid w:val="00027356"/>
    <w:rsid w:val="00027998"/>
    <w:rsid w:val="00030412"/>
    <w:rsid w:val="0003239F"/>
    <w:rsid w:val="000348DA"/>
    <w:rsid w:val="000364E9"/>
    <w:rsid w:val="000365DE"/>
    <w:rsid w:val="000405A2"/>
    <w:rsid w:val="000409C3"/>
    <w:rsid w:val="00042988"/>
    <w:rsid w:val="000448F7"/>
    <w:rsid w:val="0004775C"/>
    <w:rsid w:val="00062964"/>
    <w:rsid w:val="000631E7"/>
    <w:rsid w:val="00064DAA"/>
    <w:rsid w:val="00072826"/>
    <w:rsid w:val="000830ED"/>
    <w:rsid w:val="00084337"/>
    <w:rsid w:val="000900D4"/>
    <w:rsid w:val="000902F2"/>
    <w:rsid w:val="0009185D"/>
    <w:rsid w:val="00093BD7"/>
    <w:rsid w:val="000944A9"/>
    <w:rsid w:val="0009747D"/>
    <w:rsid w:val="000A0C03"/>
    <w:rsid w:val="000A13FC"/>
    <w:rsid w:val="000A16D6"/>
    <w:rsid w:val="000A267D"/>
    <w:rsid w:val="000A48D5"/>
    <w:rsid w:val="000A5004"/>
    <w:rsid w:val="000A6D86"/>
    <w:rsid w:val="000A7A81"/>
    <w:rsid w:val="000B1DBF"/>
    <w:rsid w:val="000B3A92"/>
    <w:rsid w:val="000B4D50"/>
    <w:rsid w:val="000B6A32"/>
    <w:rsid w:val="000C0472"/>
    <w:rsid w:val="000C0884"/>
    <w:rsid w:val="000D1693"/>
    <w:rsid w:val="000D264D"/>
    <w:rsid w:val="000D37D4"/>
    <w:rsid w:val="000D518D"/>
    <w:rsid w:val="000D5385"/>
    <w:rsid w:val="000D686B"/>
    <w:rsid w:val="000E126E"/>
    <w:rsid w:val="000E37DE"/>
    <w:rsid w:val="00101B7F"/>
    <w:rsid w:val="00105D1E"/>
    <w:rsid w:val="00112A20"/>
    <w:rsid w:val="00117281"/>
    <w:rsid w:val="001172D9"/>
    <w:rsid w:val="0012338D"/>
    <w:rsid w:val="00123BE4"/>
    <w:rsid w:val="00134FF0"/>
    <w:rsid w:val="00135BCE"/>
    <w:rsid w:val="001400B6"/>
    <w:rsid w:val="00145EBE"/>
    <w:rsid w:val="001610D0"/>
    <w:rsid w:val="00163233"/>
    <w:rsid w:val="00164254"/>
    <w:rsid w:val="00166363"/>
    <w:rsid w:val="00171100"/>
    <w:rsid w:val="001727A0"/>
    <w:rsid w:val="00172AFD"/>
    <w:rsid w:val="0017616E"/>
    <w:rsid w:val="00196114"/>
    <w:rsid w:val="00197F2F"/>
    <w:rsid w:val="001A34CC"/>
    <w:rsid w:val="001A6F1F"/>
    <w:rsid w:val="001B4390"/>
    <w:rsid w:val="001B6D74"/>
    <w:rsid w:val="001C1E90"/>
    <w:rsid w:val="001D1C66"/>
    <w:rsid w:val="001D3B32"/>
    <w:rsid w:val="001D6799"/>
    <w:rsid w:val="0020110D"/>
    <w:rsid w:val="002030E8"/>
    <w:rsid w:val="002047B1"/>
    <w:rsid w:val="00211FF2"/>
    <w:rsid w:val="002132FA"/>
    <w:rsid w:val="002146E2"/>
    <w:rsid w:val="0022093C"/>
    <w:rsid w:val="00220C5D"/>
    <w:rsid w:val="00220DEE"/>
    <w:rsid w:val="00222494"/>
    <w:rsid w:val="00224319"/>
    <w:rsid w:val="00224DB0"/>
    <w:rsid w:val="00224E5E"/>
    <w:rsid w:val="002314D6"/>
    <w:rsid w:val="002366DD"/>
    <w:rsid w:val="0023799D"/>
    <w:rsid w:val="00240051"/>
    <w:rsid w:val="00242B4E"/>
    <w:rsid w:val="00247BD9"/>
    <w:rsid w:val="00252A63"/>
    <w:rsid w:val="002663D4"/>
    <w:rsid w:val="0027510D"/>
    <w:rsid w:val="002764ED"/>
    <w:rsid w:val="00277CBC"/>
    <w:rsid w:val="002807CA"/>
    <w:rsid w:val="002818FD"/>
    <w:rsid w:val="00281F6F"/>
    <w:rsid w:val="0028251F"/>
    <w:rsid w:val="00282E41"/>
    <w:rsid w:val="00285857"/>
    <w:rsid w:val="00285A35"/>
    <w:rsid w:val="002A0F98"/>
    <w:rsid w:val="002A23CE"/>
    <w:rsid w:val="002A6343"/>
    <w:rsid w:val="002A713C"/>
    <w:rsid w:val="002B223E"/>
    <w:rsid w:val="002C241B"/>
    <w:rsid w:val="002C7252"/>
    <w:rsid w:val="002C74F3"/>
    <w:rsid w:val="002D04CB"/>
    <w:rsid w:val="002D320C"/>
    <w:rsid w:val="002D3D0F"/>
    <w:rsid w:val="002D65E5"/>
    <w:rsid w:val="002E6B4E"/>
    <w:rsid w:val="003019A4"/>
    <w:rsid w:val="00304C81"/>
    <w:rsid w:val="00304E25"/>
    <w:rsid w:val="003272A5"/>
    <w:rsid w:val="00335CB0"/>
    <w:rsid w:val="00336AA1"/>
    <w:rsid w:val="003519F2"/>
    <w:rsid w:val="00352618"/>
    <w:rsid w:val="00352FAA"/>
    <w:rsid w:val="00353A26"/>
    <w:rsid w:val="00356CD2"/>
    <w:rsid w:val="003579F9"/>
    <w:rsid w:val="00364CD0"/>
    <w:rsid w:val="0036580A"/>
    <w:rsid w:val="00367D9A"/>
    <w:rsid w:val="003809D9"/>
    <w:rsid w:val="003815C8"/>
    <w:rsid w:val="003823E7"/>
    <w:rsid w:val="003847CC"/>
    <w:rsid w:val="003850EE"/>
    <w:rsid w:val="00385305"/>
    <w:rsid w:val="003A16FD"/>
    <w:rsid w:val="003A3461"/>
    <w:rsid w:val="003A55F0"/>
    <w:rsid w:val="003B0AAD"/>
    <w:rsid w:val="003B0B3F"/>
    <w:rsid w:val="003B601A"/>
    <w:rsid w:val="003B6AF4"/>
    <w:rsid w:val="003C49CC"/>
    <w:rsid w:val="003D2A44"/>
    <w:rsid w:val="003D5600"/>
    <w:rsid w:val="003D79EB"/>
    <w:rsid w:val="003E189A"/>
    <w:rsid w:val="003E4A17"/>
    <w:rsid w:val="003E52F1"/>
    <w:rsid w:val="003F0454"/>
    <w:rsid w:val="003F1FE7"/>
    <w:rsid w:val="003F2BDC"/>
    <w:rsid w:val="003F42DB"/>
    <w:rsid w:val="003F4429"/>
    <w:rsid w:val="003F4CBE"/>
    <w:rsid w:val="003F5C25"/>
    <w:rsid w:val="003F7579"/>
    <w:rsid w:val="0040662D"/>
    <w:rsid w:val="00410A34"/>
    <w:rsid w:val="00414102"/>
    <w:rsid w:val="00427502"/>
    <w:rsid w:val="004377B1"/>
    <w:rsid w:val="004464DC"/>
    <w:rsid w:val="00455851"/>
    <w:rsid w:val="00461AF7"/>
    <w:rsid w:val="0046795E"/>
    <w:rsid w:val="00480CB7"/>
    <w:rsid w:val="00483C94"/>
    <w:rsid w:val="0048506E"/>
    <w:rsid w:val="00485D9E"/>
    <w:rsid w:val="004941A9"/>
    <w:rsid w:val="004950D6"/>
    <w:rsid w:val="00495E19"/>
    <w:rsid w:val="004A205C"/>
    <w:rsid w:val="004A3D55"/>
    <w:rsid w:val="004B1EEC"/>
    <w:rsid w:val="004C421D"/>
    <w:rsid w:val="004C4424"/>
    <w:rsid w:val="004D1664"/>
    <w:rsid w:val="004D58BC"/>
    <w:rsid w:val="004D6491"/>
    <w:rsid w:val="004D7185"/>
    <w:rsid w:val="004E363B"/>
    <w:rsid w:val="004E3732"/>
    <w:rsid w:val="004E427E"/>
    <w:rsid w:val="004F570F"/>
    <w:rsid w:val="00500824"/>
    <w:rsid w:val="00501C78"/>
    <w:rsid w:val="0050658B"/>
    <w:rsid w:val="00511994"/>
    <w:rsid w:val="00532572"/>
    <w:rsid w:val="005537CD"/>
    <w:rsid w:val="0055605C"/>
    <w:rsid w:val="00556B38"/>
    <w:rsid w:val="00557274"/>
    <w:rsid w:val="005579F9"/>
    <w:rsid w:val="005601A2"/>
    <w:rsid w:val="005620E0"/>
    <w:rsid w:val="005632B9"/>
    <w:rsid w:val="0056577F"/>
    <w:rsid w:val="00566E52"/>
    <w:rsid w:val="005708FE"/>
    <w:rsid w:val="00573C30"/>
    <w:rsid w:val="0057443E"/>
    <w:rsid w:val="00574A2F"/>
    <w:rsid w:val="00576808"/>
    <w:rsid w:val="005804C6"/>
    <w:rsid w:val="00580715"/>
    <w:rsid w:val="00582079"/>
    <w:rsid w:val="005856C7"/>
    <w:rsid w:val="00585A16"/>
    <w:rsid w:val="00590C8B"/>
    <w:rsid w:val="0059122B"/>
    <w:rsid w:val="00594A0D"/>
    <w:rsid w:val="00596A07"/>
    <w:rsid w:val="005B3006"/>
    <w:rsid w:val="005B4233"/>
    <w:rsid w:val="005B4B2E"/>
    <w:rsid w:val="005C4052"/>
    <w:rsid w:val="005D4361"/>
    <w:rsid w:val="005D7591"/>
    <w:rsid w:val="005F16BE"/>
    <w:rsid w:val="005F2135"/>
    <w:rsid w:val="005F51A4"/>
    <w:rsid w:val="005F543C"/>
    <w:rsid w:val="005F6759"/>
    <w:rsid w:val="005F7EDD"/>
    <w:rsid w:val="006011BB"/>
    <w:rsid w:val="006018DD"/>
    <w:rsid w:val="0060232D"/>
    <w:rsid w:val="00603268"/>
    <w:rsid w:val="0060442A"/>
    <w:rsid w:val="00606A64"/>
    <w:rsid w:val="006117E9"/>
    <w:rsid w:val="006176FB"/>
    <w:rsid w:val="00621FC3"/>
    <w:rsid w:val="00623020"/>
    <w:rsid w:val="00631FE1"/>
    <w:rsid w:val="00636684"/>
    <w:rsid w:val="006427E1"/>
    <w:rsid w:val="006441A7"/>
    <w:rsid w:val="00644DF3"/>
    <w:rsid w:val="006562D7"/>
    <w:rsid w:val="0066651D"/>
    <w:rsid w:val="00674300"/>
    <w:rsid w:val="00674D0D"/>
    <w:rsid w:val="00683EBF"/>
    <w:rsid w:val="0068467A"/>
    <w:rsid w:val="00685DA1"/>
    <w:rsid w:val="006903E5"/>
    <w:rsid w:val="0069059A"/>
    <w:rsid w:val="00696C2E"/>
    <w:rsid w:val="006A1109"/>
    <w:rsid w:val="006B187B"/>
    <w:rsid w:val="006B230A"/>
    <w:rsid w:val="006B4083"/>
    <w:rsid w:val="006B43F5"/>
    <w:rsid w:val="006B5907"/>
    <w:rsid w:val="006C0626"/>
    <w:rsid w:val="006C18C5"/>
    <w:rsid w:val="006C348C"/>
    <w:rsid w:val="006C3FD2"/>
    <w:rsid w:val="006C7837"/>
    <w:rsid w:val="006D3464"/>
    <w:rsid w:val="006D3C23"/>
    <w:rsid w:val="006F3573"/>
    <w:rsid w:val="006F5CBB"/>
    <w:rsid w:val="00702E92"/>
    <w:rsid w:val="0070616A"/>
    <w:rsid w:val="0071045B"/>
    <w:rsid w:val="00712D45"/>
    <w:rsid w:val="007219D0"/>
    <w:rsid w:val="00722BC2"/>
    <w:rsid w:val="007235CC"/>
    <w:rsid w:val="00724976"/>
    <w:rsid w:val="0072694F"/>
    <w:rsid w:val="0072711B"/>
    <w:rsid w:val="007310AE"/>
    <w:rsid w:val="00732F88"/>
    <w:rsid w:val="00733C4D"/>
    <w:rsid w:val="00736F23"/>
    <w:rsid w:val="007402B8"/>
    <w:rsid w:val="00745F6C"/>
    <w:rsid w:val="00752F48"/>
    <w:rsid w:val="00755F06"/>
    <w:rsid w:val="0075782E"/>
    <w:rsid w:val="00764D71"/>
    <w:rsid w:val="0076542B"/>
    <w:rsid w:val="0076710D"/>
    <w:rsid w:val="007671E7"/>
    <w:rsid w:val="007701FA"/>
    <w:rsid w:val="00771F96"/>
    <w:rsid w:val="007811D2"/>
    <w:rsid w:val="00781582"/>
    <w:rsid w:val="0078656D"/>
    <w:rsid w:val="007865EC"/>
    <w:rsid w:val="00787621"/>
    <w:rsid w:val="007902BA"/>
    <w:rsid w:val="00793476"/>
    <w:rsid w:val="00795A0B"/>
    <w:rsid w:val="007A2E1B"/>
    <w:rsid w:val="007A72F1"/>
    <w:rsid w:val="007A7CE2"/>
    <w:rsid w:val="007B5A04"/>
    <w:rsid w:val="007C156C"/>
    <w:rsid w:val="007C6E5C"/>
    <w:rsid w:val="007D3C76"/>
    <w:rsid w:val="007D6EAF"/>
    <w:rsid w:val="007F4066"/>
    <w:rsid w:val="00800F2E"/>
    <w:rsid w:val="00807143"/>
    <w:rsid w:val="00807323"/>
    <w:rsid w:val="00811A9C"/>
    <w:rsid w:val="00813A8B"/>
    <w:rsid w:val="00817393"/>
    <w:rsid w:val="008221E2"/>
    <w:rsid w:val="00834E72"/>
    <w:rsid w:val="00840BEA"/>
    <w:rsid w:val="00841ECB"/>
    <w:rsid w:val="00843310"/>
    <w:rsid w:val="00845519"/>
    <w:rsid w:val="008459BC"/>
    <w:rsid w:val="00846208"/>
    <w:rsid w:val="00854C49"/>
    <w:rsid w:val="00854C75"/>
    <w:rsid w:val="00855ECA"/>
    <w:rsid w:val="008575B0"/>
    <w:rsid w:val="00864679"/>
    <w:rsid w:val="00867ACE"/>
    <w:rsid w:val="00877AB0"/>
    <w:rsid w:val="00882CA7"/>
    <w:rsid w:val="0088406D"/>
    <w:rsid w:val="00890BE8"/>
    <w:rsid w:val="008A6B64"/>
    <w:rsid w:val="008A7D89"/>
    <w:rsid w:val="008B5E88"/>
    <w:rsid w:val="008C24DE"/>
    <w:rsid w:val="008C4EE8"/>
    <w:rsid w:val="008C6D9A"/>
    <w:rsid w:val="008D4ACB"/>
    <w:rsid w:val="008D7C85"/>
    <w:rsid w:val="008E0FE1"/>
    <w:rsid w:val="008E22CF"/>
    <w:rsid w:val="008E27B3"/>
    <w:rsid w:val="008E2B41"/>
    <w:rsid w:val="008E3C79"/>
    <w:rsid w:val="008E6AF5"/>
    <w:rsid w:val="008F0D4A"/>
    <w:rsid w:val="008F2A26"/>
    <w:rsid w:val="00911E28"/>
    <w:rsid w:val="0091323E"/>
    <w:rsid w:val="009143C6"/>
    <w:rsid w:val="00921F2A"/>
    <w:rsid w:val="009247A4"/>
    <w:rsid w:val="009301D7"/>
    <w:rsid w:val="00930737"/>
    <w:rsid w:val="009307B7"/>
    <w:rsid w:val="00933FC9"/>
    <w:rsid w:val="00935450"/>
    <w:rsid w:val="00935A7F"/>
    <w:rsid w:val="00936A5C"/>
    <w:rsid w:val="00937375"/>
    <w:rsid w:val="00941897"/>
    <w:rsid w:val="00942807"/>
    <w:rsid w:val="00943B9F"/>
    <w:rsid w:val="00946EA8"/>
    <w:rsid w:val="0094759D"/>
    <w:rsid w:val="00950498"/>
    <w:rsid w:val="00951F50"/>
    <w:rsid w:val="00954239"/>
    <w:rsid w:val="0096124E"/>
    <w:rsid w:val="0096317E"/>
    <w:rsid w:val="00965D02"/>
    <w:rsid w:val="00971C1A"/>
    <w:rsid w:val="009830DC"/>
    <w:rsid w:val="00984CFD"/>
    <w:rsid w:val="00987230"/>
    <w:rsid w:val="009875BF"/>
    <w:rsid w:val="00992AAF"/>
    <w:rsid w:val="009A114B"/>
    <w:rsid w:val="009A147D"/>
    <w:rsid w:val="009A4DF6"/>
    <w:rsid w:val="009B66D8"/>
    <w:rsid w:val="009C1E6D"/>
    <w:rsid w:val="009C79AE"/>
    <w:rsid w:val="009D0B3D"/>
    <w:rsid w:val="009D4716"/>
    <w:rsid w:val="009D5657"/>
    <w:rsid w:val="009F6D91"/>
    <w:rsid w:val="009F6FFE"/>
    <w:rsid w:val="009F7F50"/>
    <w:rsid w:val="00A07578"/>
    <w:rsid w:val="00A11767"/>
    <w:rsid w:val="00A1298C"/>
    <w:rsid w:val="00A24CD8"/>
    <w:rsid w:val="00A30419"/>
    <w:rsid w:val="00A33E49"/>
    <w:rsid w:val="00A36701"/>
    <w:rsid w:val="00A429A4"/>
    <w:rsid w:val="00A50B36"/>
    <w:rsid w:val="00A55765"/>
    <w:rsid w:val="00A57C63"/>
    <w:rsid w:val="00A660DC"/>
    <w:rsid w:val="00A72CCB"/>
    <w:rsid w:val="00A72F4B"/>
    <w:rsid w:val="00A7460B"/>
    <w:rsid w:val="00A74B3A"/>
    <w:rsid w:val="00A81FAB"/>
    <w:rsid w:val="00A830DA"/>
    <w:rsid w:val="00A85E1F"/>
    <w:rsid w:val="00A91641"/>
    <w:rsid w:val="00A916A8"/>
    <w:rsid w:val="00A9235E"/>
    <w:rsid w:val="00A97B76"/>
    <w:rsid w:val="00AA2DE0"/>
    <w:rsid w:val="00AB0D01"/>
    <w:rsid w:val="00AB34EF"/>
    <w:rsid w:val="00AC29DD"/>
    <w:rsid w:val="00AC5041"/>
    <w:rsid w:val="00AC748F"/>
    <w:rsid w:val="00AD20B2"/>
    <w:rsid w:val="00AD2845"/>
    <w:rsid w:val="00AD2E60"/>
    <w:rsid w:val="00AD607A"/>
    <w:rsid w:val="00AD61A5"/>
    <w:rsid w:val="00AE3376"/>
    <w:rsid w:val="00AF10C0"/>
    <w:rsid w:val="00AF45BA"/>
    <w:rsid w:val="00AF7A0C"/>
    <w:rsid w:val="00B0060B"/>
    <w:rsid w:val="00B12297"/>
    <w:rsid w:val="00B13E84"/>
    <w:rsid w:val="00B26F11"/>
    <w:rsid w:val="00B31412"/>
    <w:rsid w:val="00B32D1A"/>
    <w:rsid w:val="00B346F4"/>
    <w:rsid w:val="00B3656A"/>
    <w:rsid w:val="00B40656"/>
    <w:rsid w:val="00B51CF0"/>
    <w:rsid w:val="00B528A4"/>
    <w:rsid w:val="00B52971"/>
    <w:rsid w:val="00B5503B"/>
    <w:rsid w:val="00B56A56"/>
    <w:rsid w:val="00B646A0"/>
    <w:rsid w:val="00B71B93"/>
    <w:rsid w:val="00B71C26"/>
    <w:rsid w:val="00B82B33"/>
    <w:rsid w:val="00B915EB"/>
    <w:rsid w:val="00B96801"/>
    <w:rsid w:val="00B97B46"/>
    <w:rsid w:val="00BA01D6"/>
    <w:rsid w:val="00BA2772"/>
    <w:rsid w:val="00BA58E4"/>
    <w:rsid w:val="00BA62AA"/>
    <w:rsid w:val="00BA63E8"/>
    <w:rsid w:val="00BB097A"/>
    <w:rsid w:val="00BB1225"/>
    <w:rsid w:val="00BB2F61"/>
    <w:rsid w:val="00BB4F7C"/>
    <w:rsid w:val="00BC5557"/>
    <w:rsid w:val="00BC7863"/>
    <w:rsid w:val="00BE3749"/>
    <w:rsid w:val="00BE47B4"/>
    <w:rsid w:val="00BE65DF"/>
    <w:rsid w:val="00BE71EB"/>
    <w:rsid w:val="00BF038F"/>
    <w:rsid w:val="00BF2A90"/>
    <w:rsid w:val="00BF3F97"/>
    <w:rsid w:val="00C0318B"/>
    <w:rsid w:val="00C03B37"/>
    <w:rsid w:val="00C15C32"/>
    <w:rsid w:val="00C22E89"/>
    <w:rsid w:val="00C23347"/>
    <w:rsid w:val="00C27887"/>
    <w:rsid w:val="00C40A21"/>
    <w:rsid w:val="00C5237E"/>
    <w:rsid w:val="00C63BC6"/>
    <w:rsid w:val="00C7036C"/>
    <w:rsid w:val="00C711F6"/>
    <w:rsid w:val="00C71BEE"/>
    <w:rsid w:val="00C80B55"/>
    <w:rsid w:val="00C80FDC"/>
    <w:rsid w:val="00C831DD"/>
    <w:rsid w:val="00C8673A"/>
    <w:rsid w:val="00C90C87"/>
    <w:rsid w:val="00C911F5"/>
    <w:rsid w:val="00C917ED"/>
    <w:rsid w:val="00C92572"/>
    <w:rsid w:val="00C947B2"/>
    <w:rsid w:val="00C94A12"/>
    <w:rsid w:val="00C96447"/>
    <w:rsid w:val="00C969FF"/>
    <w:rsid w:val="00CA403B"/>
    <w:rsid w:val="00CA6585"/>
    <w:rsid w:val="00CA76B5"/>
    <w:rsid w:val="00CB3E44"/>
    <w:rsid w:val="00CB5BAE"/>
    <w:rsid w:val="00CB62A2"/>
    <w:rsid w:val="00CC0A97"/>
    <w:rsid w:val="00CC0C46"/>
    <w:rsid w:val="00CC2C6A"/>
    <w:rsid w:val="00CD355B"/>
    <w:rsid w:val="00CD46A3"/>
    <w:rsid w:val="00CD6785"/>
    <w:rsid w:val="00CE0DE4"/>
    <w:rsid w:val="00CE1D65"/>
    <w:rsid w:val="00CE48DB"/>
    <w:rsid w:val="00CE5BD2"/>
    <w:rsid w:val="00CE7026"/>
    <w:rsid w:val="00CE7DE2"/>
    <w:rsid w:val="00CF78A4"/>
    <w:rsid w:val="00D0182F"/>
    <w:rsid w:val="00D02F42"/>
    <w:rsid w:val="00D03398"/>
    <w:rsid w:val="00D05FD7"/>
    <w:rsid w:val="00D216AA"/>
    <w:rsid w:val="00D34C54"/>
    <w:rsid w:val="00D44381"/>
    <w:rsid w:val="00D45D9F"/>
    <w:rsid w:val="00D4604F"/>
    <w:rsid w:val="00D47B05"/>
    <w:rsid w:val="00D533FD"/>
    <w:rsid w:val="00D55DE9"/>
    <w:rsid w:val="00D60B52"/>
    <w:rsid w:val="00D658E2"/>
    <w:rsid w:val="00D721EB"/>
    <w:rsid w:val="00D77B6E"/>
    <w:rsid w:val="00D80192"/>
    <w:rsid w:val="00D84EA8"/>
    <w:rsid w:val="00D916A4"/>
    <w:rsid w:val="00D91C1C"/>
    <w:rsid w:val="00DA0C52"/>
    <w:rsid w:val="00DA22CA"/>
    <w:rsid w:val="00DA2D45"/>
    <w:rsid w:val="00DB1862"/>
    <w:rsid w:val="00DB3197"/>
    <w:rsid w:val="00DC2E01"/>
    <w:rsid w:val="00DC5D44"/>
    <w:rsid w:val="00DC6D79"/>
    <w:rsid w:val="00DC79E9"/>
    <w:rsid w:val="00DD1A0C"/>
    <w:rsid w:val="00DD1ABA"/>
    <w:rsid w:val="00DD37BC"/>
    <w:rsid w:val="00DD5647"/>
    <w:rsid w:val="00DE4734"/>
    <w:rsid w:val="00DE6746"/>
    <w:rsid w:val="00DE75C0"/>
    <w:rsid w:val="00DF082F"/>
    <w:rsid w:val="00DF1C6C"/>
    <w:rsid w:val="00DF571F"/>
    <w:rsid w:val="00E03C6E"/>
    <w:rsid w:val="00E063C1"/>
    <w:rsid w:val="00E11653"/>
    <w:rsid w:val="00E12BE9"/>
    <w:rsid w:val="00E14114"/>
    <w:rsid w:val="00E22565"/>
    <w:rsid w:val="00E2357D"/>
    <w:rsid w:val="00E33AB8"/>
    <w:rsid w:val="00E362FC"/>
    <w:rsid w:val="00E4303E"/>
    <w:rsid w:val="00E44C16"/>
    <w:rsid w:val="00E51E7D"/>
    <w:rsid w:val="00E52617"/>
    <w:rsid w:val="00E52B0D"/>
    <w:rsid w:val="00E544CA"/>
    <w:rsid w:val="00E55B57"/>
    <w:rsid w:val="00E7282E"/>
    <w:rsid w:val="00E769DB"/>
    <w:rsid w:val="00E85741"/>
    <w:rsid w:val="00E91068"/>
    <w:rsid w:val="00EA2E49"/>
    <w:rsid w:val="00EB6659"/>
    <w:rsid w:val="00EC724F"/>
    <w:rsid w:val="00ED01A3"/>
    <w:rsid w:val="00ED1C59"/>
    <w:rsid w:val="00ED2E9D"/>
    <w:rsid w:val="00EE64DF"/>
    <w:rsid w:val="00EF12B7"/>
    <w:rsid w:val="00EF5CAD"/>
    <w:rsid w:val="00EF6A0D"/>
    <w:rsid w:val="00F00B85"/>
    <w:rsid w:val="00F028FB"/>
    <w:rsid w:val="00F03DBA"/>
    <w:rsid w:val="00F03E09"/>
    <w:rsid w:val="00F05C8C"/>
    <w:rsid w:val="00F12D58"/>
    <w:rsid w:val="00F14322"/>
    <w:rsid w:val="00F20129"/>
    <w:rsid w:val="00F2021A"/>
    <w:rsid w:val="00F25602"/>
    <w:rsid w:val="00F3227F"/>
    <w:rsid w:val="00F33290"/>
    <w:rsid w:val="00F44B97"/>
    <w:rsid w:val="00F5361F"/>
    <w:rsid w:val="00F5529C"/>
    <w:rsid w:val="00F56330"/>
    <w:rsid w:val="00F71F3B"/>
    <w:rsid w:val="00F757DB"/>
    <w:rsid w:val="00F760CF"/>
    <w:rsid w:val="00F76228"/>
    <w:rsid w:val="00F860A3"/>
    <w:rsid w:val="00F97919"/>
    <w:rsid w:val="00FA121C"/>
    <w:rsid w:val="00FA1BE6"/>
    <w:rsid w:val="00FA2E7D"/>
    <w:rsid w:val="00FA34F1"/>
    <w:rsid w:val="00FA4D6B"/>
    <w:rsid w:val="00FA4DDA"/>
    <w:rsid w:val="00FB703B"/>
    <w:rsid w:val="00FC3CDF"/>
    <w:rsid w:val="00FD095E"/>
    <w:rsid w:val="00FE686D"/>
    <w:rsid w:val="00FE7554"/>
    <w:rsid w:val="00FF3A0D"/>
    <w:rsid w:val="00FF5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8D"/>
  </w:style>
  <w:style w:type="paragraph" w:styleId="Heading1">
    <w:name w:val="heading 1"/>
    <w:basedOn w:val="Normal"/>
    <w:next w:val="Normal"/>
    <w:link w:val="Heading1Char"/>
    <w:uiPriority w:val="9"/>
    <w:qFormat/>
    <w:rsid w:val="002764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33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33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338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2338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338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2338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338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233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table">
    <w:name w:val="Body text table"/>
    <w:basedOn w:val="Normal"/>
    <w:rsid w:val="001A6F1F"/>
    <w:pPr>
      <w:tabs>
        <w:tab w:val="right" w:pos="9360"/>
      </w:tabs>
      <w:spacing w:before="240" w:after="120"/>
    </w:pPr>
    <w:rPr>
      <w:rFonts w:ascii="Arial" w:hAnsi="Arial"/>
      <w:bCs/>
      <w:sz w:val="18"/>
      <w:szCs w:val="20"/>
    </w:rPr>
  </w:style>
  <w:style w:type="paragraph" w:styleId="Header">
    <w:name w:val="header"/>
    <w:basedOn w:val="Normal"/>
    <w:rsid w:val="001A6F1F"/>
    <w:pPr>
      <w:tabs>
        <w:tab w:val="center" w:pos="4320"/>
        <w:tab w:val="right" w:pos="8640"/>
      </w:tabs>
    </w:pPr>
    <w:rPr>
      <w:sz w:val="20"/>
      <w:szCs w:val="20"/>
    </w:rPr>
  </w:style>
  <w:style w:type="paragraph" w:styleId="List">
    <w:name w:val="List"/>
    <w:basedOn w:val="Normal"/>
    <w:rsid w:val="00942807"/>
    <w:pPr>
      <w:ind w:left="360" w:hanging="360"/>
    </w:pPr>
  </w:style>
  <w:style w:type="character" w:styleId="Hyperlink">
    <w:name w:val="Hyperlink"/>
    <w:basedOn w:val="DefaultParagraphFont"/>
    <w:uiPriority w:val="99"/>
    <w:rsid w:val="00942807"/>
    <w:rPr>
      <w:color w:val="0000FF"/>
      <w:u w:val="single"/>
    </w:rPr>
  </w:style>
  <w:style w:type="paragraph" w:styleId="BodyText">
    <w:name w:val="Body Text"/>
    <w:basedOn w:val="Normal"/>
    <w:link w:val="BodyTextChar"/>
    <w:rsid w:val="0078656D"/>
    <w:pPr>
      <w:pBdr>
        <w:top w:val="single" w:sz="4" w:space="1" w:color="auto" w:shadow="1"/>
        <w:left w:val="single" w:sz="4" w:space="4" w:color="auto" w:shadow="1"/>
        <w:bottom w:val="single" w:sz="4" w:space="31" w:color="auto" w:shadow="1"/>
        <w:right w:val="single" w:sz="4" w:space="4" w:color="auto" w:shadow="1"/>
      </w:pBdr>
    </w:pPr>
    <w:rPr>
      <w:rFonts w:ascii="Arial" w:hAnsi="Arial"/>
      <w:szCs w:val="20"/>
    </w:rPr>
  </w:style>
  <w:style w:type="table" w:styleId="TableGrid">
    <w:name w:val="Table Grid"/>
    <w:basedOn w:val="TableNormal"/>
    <w:rsid w:val="00786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656D"/>
    <w:pPr>
      <w:autoSpaceDE w:val="0"/>
      <w:autoSpaceDN w:val="0"/>
      <w:adjustRightInd w:val="0"/>
    </w:pPr>
    <w:rPr>
      <w:color w:val="000000"/>
      <w:sz w:val="24"/>
      <w:szCs w:val="24"/>
    </w:rPr>
  </w:style>
  <w:style w:type="paragraph" w:styleId="ListBullet">
    <w:name w:val="List Bullet"/>
    <w:basedOn w:val="List"/>
    <w:rsid w:val="0078656D"/>
    <w:pPr>
      <w:overflowPunct w:val="0"/>
      <w:autoSpaceDE w:val="0"/>
      <w:autoSpaceDN w:val="0"/>
      <w:adjustRightInd w:val="0"/>
      <w:spacing w:after="120"/>
      <w:ind w:left="648"/>
      <w:jc w:val="both"/>
      <w:textAlignment w:val="baseline"/>
    </w:pPr>
    <w:rPr>
      <w:rFonts w:ascii="Arial" w:hAnsi="Arial"/>
      <w:sz w:val="20"/>
      <w:szCs w:val="20"/>
    </w:rPr>
  </w:style>
  <w:style w:type="character" w:styleId="FollowedHyperlink">
    <w:name w:val="FollowedHyperlink"/>
    <w:basedOn w:val="DefaultParagraphFont"/>
    <w:uiPriority w:val="99"/>
    <w:rsid w:val="00145EBE"/>
    <w:rPr>
      <w:color w:val="800080"/>
      <w:u w:val="single"/>
    </w:rPr>
  </w:style>
  <w:style w:type="paragraph" w:styleId="Footer">
    <w:name w:val="footer"/>
    <w:basedOn w:val="Normal"/>
    <w:rsid w:val="003519F2"/>
    <w:pPr>
      <w:tabs>
        <w:tab w:val="center" w:pos="4320"/>
        <w:tab w:val="right" w:pos="8640"/>
      </w:tabs>
    </w:pPr>
  </w:style>
  <w:style w:type="character" w:styleId="PageNumber">
    <w:name w:val="page number"/>
    <w:basedOn w:val="DefaultParagraphFont"/>
    <w:rsid w:val="003519F2"/>
  </w:style>
  <w:style w:type="paragraph" w:styleId="FootnoteText">
    <w:name w:val="footnote text"/>
    <w:basedOn w:val="Normal"/>
    <w:semiHidden/>
    <w:rsid w:val="005804C6"/>
    <w:rPr>
      <w:sz w:val="20"/>
      <w:szCs w:val="20"/>
    </w:rPr>
  </w:style>
  <w:style w:type="character" w:styleId="FootnoteReference">
    <w:name w:val="footnote reference"/>
    <w:basedOn w:val="DefaultParagraphFont"/>
    <w:semiHidden/>
    <w:rsid w:val="005804C6"/>
    <w:rPr>
      <w:vertAlign w:val="superscript"/>
    </w:rPr>
  </w:style>
  <w:style w:type="paragraph" w:customStyle="1" w:styleId="Style9">
    <w:name w:val="Style 9"/>
    <w:basedOn w:val="Normal"/>
    <w:rsid w:val="00A30419"/>
    <w:pPr>
      <w:widowControl w:val="0"/>
      <w:tabs>
        <w:tab w:val="left" w:pos="2088"/>
      </w:tabs>
      <w:ind w:left="1368"/>
    </w:pPr>
    <w:rPr>
      <w:noProof/>
      <w:color w:val="000000"/>
      <w:sz w:val="20"/>
      <w:szCs w:val="20"/>
    </w:rPr>
  </w:style>
  <w:style w:type="paragraph" w:styleId="BalloonText">
    <w:name w:val="Balloon Text"/>
    <w:basedOn w:val="Normal"/>
    <w:semiHidden/>
    <w:rsid w:val="003D2A44"/>
    <w:rPr>
      <w:rFonts w:ascii="Tahoma" w:hAnsi="Tahoma" w:cs="Tahoma"/>
      <w:sz w:val="16"/>
      <w:szCs w:val="16"/>
    </w:rPr>
  </w:style>
  <w:style w:type="paragraph" w:styleId="BodyTextIndent">
    <w:name w:val="Body Text Indent"/>
    <w:basedOn w:val="Normal"/>
    <w:link w:val="BodyTextIndentChar"/>
    <w:uiPriority w:val="99"/>
    <w:semiHidden/>
    <w:unhideWhenUsed/>
    <w:rsid w:val="006C3FD2"/>
    <w:pPr>
      <w:spacing w:after="120"/>
      <w:ind w:left="360"/>
    </w:pPr>
  </w:style>
  <w:style w:type="character" w:customStyle="1" w:styleId="BodyTextIndentChar">
    <w:name w:val="Body Text Indent Char"/>
    <w:basedOn w:val="DefaultParagraphFont"/>
    <w:link w:val="BodyTextIndent"/>
    <w:uiPriority w:val="99"/>
    <w:semiHidden/>
    <w:rsid w:val="006C3FD2"/>
    <w:rPr>
      <w:sz w:val="24"/>
      <w:szCs w:val="24"/>
    </w:rPr>
  </w:style>
  <w:style w:type="character" w:customStyle="1" w:styleId="Heading1Char">
    <w:name w:val="Heading 1 Char"/>
    <w:basedOn w:val="DefaultParagraphFont"/>
    <w:link w:val="Heading1"/>
    <w:uiPriority w:val="9"/>
    <w:rsid w:val="002764E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2338D"/>
    <w:pPr>
      <w:ind w:left="720"/>
      <w:contextualSpacing/>
    </w:pPr>
  </w:style>
  <w:style w:type="character" w:customStyle="1" w:styleId="Heading2Char">
    <w:name w:val="Heading 2 Char"/>
    <w:basedOn w:val="DefaultParagraphFont"/>
    <w:link w:val="Heading2"/>
    <w:uiPriority w:val="9"/>
    <w:rsid w:val="001233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33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233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233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233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233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2338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2338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23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38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233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338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2338D"/>
    <w:rPr>
      <w:b/>
      <w:bCs/>
    </w:rPr>
  </w:style>
  <w:style w:type="character" w:styleId="Emphasis">
    <w:name w:val="Emphasis"/>
    <w:basedOn w:val="DefaultParagraphFont"/>
    <w:uiPriority w:val="20"/>
    <w:qFormat/>
    <w:rsid w:val="0012338D"/>
    <w:rPr>
      <w:i/>
      <w:iCs/>
    </w:rPr>
  </w:style>
  <w:style w:type="paragraph" w:styleId="NoSpacing">
    <w:name w:val="No Spacing"/>
    <w:link w:val="NoSpacingChar"/>
    <w:uiPriority w:val="1"/>
    <w:qFormat/>
    <w:rsid w:val="0012338D"/>
    <w:pPr>
      <w:spacing w:after="0" w:line="240" w:lineRule="auto"/>
    </w:pPr>
  </w:style>
  <w:style w:type="paragraph" w:styleId="Quote">
    <w:name w:val="Quote"/>
    <w:basedOn w:val="Normal"/>
    <w:next w:val="Normal"/>
    <w:link w:val="QuoteChar"/>
    <w:uiPriority w:val="29"/>
    <w:qFormat/>
    <w:rsid w:val="0012338D"/>
    <w:rPr>
      <w:i/>
      <w:iCs/>
      <w:color w:val="000000" w:themeColor="text1"/>
    </w:rPr>
  </w:style>
  <w:style w:type="character" w:customStyle="1" w:styleId="QuoteChar">
    <w:name w:val="Quote Char"/>
    <w:basedOn w:val="DefaultParagraphFont"/>
    <w:link w:val="Quote"/>
    <w:uiPriority w:val="29"/>
    <w:rsid w:val="0012338D"/>
    <w:rPr>
      <w:i/>
      <w:iCs/>
      <w:color w:val="000000" w:themeColor="text1"/>
    </w:rPr>
  </w:style>
  <w:style w:type="paragraph" w:styleId="IntenseQuote">
    <w:name w:val="Intense Quote"/>
    <w:basedOn w:val="Normal"/>
    <w:next w:val="Normal"/>
    <w:link w:val="IntenseQuoteChar"/>
    <w:uiPriority w:val="30"/>
    <w:qFormat/>
    <w:rsid w:val="0012338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2338D"/>
    <w:rPr>
      <w:b/>
      <w:bCs/>
      <w:i/>
      <w:iCs/>
      <w:color w:val="4F81BD" w:themeColor="accent1"/>
    </w:rPr>
  </w:style>
  <w:style w:type="character" w:styleId="SubtleEmphasis">
    <w:name w:val="Subtle Emphasis"/>
    <w:basedOn w:val="DefaultParagraphFont"/>
    <w:uiPriority w:val="19"/>
    <w:qFormat/>
    <w:rsid w:val="0012338D"/>
    <w:rPr>
      <w:i/>
      <w:iCs/>
      <w:color w:val="808080" w:themeColor="text1" w:themeTint="7F"/>
    </w:rPr>
  </w:style>
  <w:style w:type="character" w:styleId="IntenseEmphasis">
    <w:name w:val="Intense Emphasis"/>
    <w:basedOn w:val="DefaultParagraphFont"/>
    <w:uiPriority w:val="21"/>
    <w:qFormat/>
    <w:rsid w:val="0012338D"/>
    <w:rPr>
      <w:b/>
      <w:bCs/>
      <w:i/>
      <w:iCs/>
      <w:color w:val="4F81BD" w:themeColor="accent1"/>
    </w:rPr>
  </w:style>
  <w:style w:type="character" w:styleId="SubtleReference">
    <w:name w:val="Subtle Reference"/>
    <w:basedOn w:val="DefaultParagraphFont"/>
    <w:uiPriority w:val="31"/>
    <w:qFormat/>
    <w:rsid w:val="0012338D"/>
    <w:rPr>
      <w:smallCaps/>
      <w:color w:val="C0504D" w:themeColor="accent2"/>
      <w:u w:val="single"/>
    </w:rPr>
  </w:style>
  <w:style w:type="character" w:styleId="IntenseReference">
    <w:name w:val="Intense Reference"/>
    <w:basedOn w:val="DefaultParagraphFont"/>
    <w:uiPriority w:val="32"/>
    <w:qFormat/>
    <w:rsid w:val="0012338D"/>
    <w:rPr>
      <w:b/>
      <w:bCs/>
      <w:smallCaps/>
      <w:color w:val="C0504D" w:themeColor="accent2"/>
      <w:spacing w:val="5"/>
      <w:u w:val="single"/>
    </w:rPr>
  </w:style>
  <w:style w:type="character" w:styleId="BookTitle">
    <w:name w:val="Book Title"/>
    <w:basedOn w:val="DefaultParagraphFont"/>
    <w:uiPriority w:val="33"/>
    <w:qFormat/>
    <w:rsid w:val="0012338D"/>
    <w:rPr>
      <w:b/>
      <w:bCs/>
      <w:smallCaps/>
      <w:spacing w:val="5"/>
    </w:rPr>
  </w:style>
  <w:style w:type="paragraph" w:styleId="TOCHeading">
    <w:name w:val="TOC Heading"/>
    <w:basedOn w:val="Heading1"/>
    <w:next w:val="Normal"/>
    <w:uiPriority w:val="39"/>
    <w:unhideWhenUsed/>
    <w:qFormat/>
    <w:rsid w:val="0012338D"/>
    <w:pPr>
      <w:outlineLvl w:val="9"/>
    </w:pPr>
  </w:style>
  <w:style w:type="paragraph" w:styleId="Caption">
    <w:name w:val="caption"/>
    <w:basedOn w:val="Normal"/>
    <w:next w:val="Normal"/>
    <w:uiPriority w:val="35"/>
    <w:unhideWhenUsed/>
    <w:qFormat/>
    <w:rsid w:val="0012338D"/>
    <w:pPr>
      <w:spacing w:line="240" w:lineRule="auto"/>
    </w:pPr>
    <w:rPr>
      <w:b/>
      <w:bCs/>
      <w:color w:val="4F81BD" w:themeColor="accent1"/>
      <w:sz w:val="18"/>
      <w:szCs w:val="18"/>
    </w:rPr>
  </w:style>
  <w:style w:type="character" w:customStyle="1" w:styleId="BodyTextChar">
    <w:name w:val="Body Text Char"/>
    <w:basedOn w:val="DefaultParagraphFont"/>
    <w:link w:val="BodyText"/>
    <w:rsid w:val="00242B4E"/>
    <w:rPr>
      <w:rFonts w:ascii="Arial" w:hAnsi="Arial"/>
      <w:sz w:val="24"/>
      <w:szCs w:val="20"/>
    </w:rPr>
  </w:style>
  <w:style w:type="character" w:customStyle="1" w:styleId="NoSpacingChar">
    <w:name w:val="No Spacing Char"/>
    <w:basedOn w:val="DefaultParagraphFont"/>
    <w:link w:val="NoSpacing"/>
    <w:uiPriority w:val="1"/>
    <w:rsid w:val="00242B4E"/>
  </w:style>
  <w:style w:type="paragraph" w:styleId="ListBullet2">
    <w:name w:val="List Bullet 2"/>
    <w:basedOn w:val="Normal"/>
    <w:uiPriority w:val="99"/>
    <w:unhideWhenUsed/>
    <w:rsid w:val="00285857"/>
    <w:pPr>
      <w:numPr>
        <w:numId w:val="2"/>
      </w:numPr>
      <w:contextualSpacing/>
    </w:pPr>
  </w:style>
  <w:style w:type="paragraph" w:styleId="ListNumber">
    <w:name w:val="List Number"/>
    <w:basedOn w:val="Normal"/>
    <w:uiPriority w:val="99"/>
    <w:unhideWhenUsed/>
    <w:rsid w:val="0012338D"/>
    <w:pPr>
      <w:numPr>
        <w:numId w:val="3"/>
      </w:numPr>
      <w:contextualSpacing/>
    </w:pPr>
  </w:style>
  <w:style w:type="paragraph" w:styleId="ListNumber2">
    <w:name w:val="List Number 2"/>
    <w:basedOn w:val="Normal"/>
    <w:uiPriority w:val="99"/>
    <w:unhideWhenUsed/>
    <w:rsid w:val="0012338D"/>
    <w:pPr>
      <w:numPr>
        <w:numId w:val="4"/>
      </w:numPr>
      <w:contextualSpacing/>
    </w:pPr>
  </w:style>
  <w:style w:type="character" w:styleId="LineNumber">
    <w:name w:val="line number"/>
    <w:basedOn w:val="DefaultParagraphFont"/>
    <w:uiPriority w:val="99"/>
    <w:unhideWhenUsed/>
    <w:rsid w:val="0012338D"/>
  </w:style>
  <w:style w:type="paragraph" w:styleId="List2">
    <w:name w:val="List 2"/>
    <w:basedOn w:val="Normal"/>
    <w:uiPriority w:val="99"/>
    <w:unhideWhenUsed/>
    <w:rsid w:val="0012338D"/>
    <w:pPr>
      <w:ind w:left="720" w:hanging="360"/>
      <w:contextualSpacing/>
    </w:pPr>
  </w:style>
  <w:style w:type="paragraph" w:styleId="TOC1">
    <w:name w:val="toc 1"/>
    <w:basedOn w:val="Normal"/>
    <w:next w:val="Normal"/>
    <w:autoRedefine/>
    <w:uiPriority w:val="39"/>
    <w:unhideWhenUsed/>
    <w:rsid w:val="008E27B3"/>
    <w:pPr>
      <w:tabs>
        <w:tab w:val="left" w:pos="440"/>
        <w:tab w:val="right" w:leader="dot" w:pos="10070"/>
      </w:tabs>
      <w:spacing w:after="100"/>
    </w:pPr>
    <w:rPr>
      <w:sz w:val="16"/>
      <w:szCs w:val="16"/>
    </w:rPr>
  </w:style>
  <w:style w:type="paragraph" w:styleId="TOC2">
    <w:name w:val="toc 2"/>
    <w:basedOn w:val="Normal"/>
    <w:next w:val="Normal"/>
    <w:autoRedefine/>
    <w:uiPriority w:val="39"/>
    <w:unhideWhenUsed/>
    <w:rsid w:val="0022093C"/>
    <w:pPr>
      <w:spacing w:after="100"/>
      <w:ind w:left="220"/>
    </w:pPr>
  </w:style>
  <w:style w:type="paragraph" w:styleId="TOC3">
    <w:name w:val="toc 3"/>
    <w:basedOn w:val="Normal"/>
    <w:next w:val="Normal"/>
    <w:autoRedefine/>
    <w:uiPriority w:val="39"/>
    <w:unhideWhenUsed/>
    <w:rsid w:val="0022093C"/>
    <w:pPr>
      <w:spacing w:after="100"/>
      <w:ind w:left="440"/>
    </w:pPr>
  </w:style>
  <w:style w:type="character" w:styleId="PlaceholderText">
    <w:name w:val="Placeholder Text"/>
    <w:basedOn w:val="DefaultParagraphFont"/>
    <w:uiPriority w:val="99"/>
    <w:semiHidden/>
    <w:rsid w:val="00771F96"/>
    <w:rPr>
      <w:color w:val="808080"/>
    </w:rPr>
  </w:style>
  <w:style w:type="paragraph" w:customStyle="1" w:styleId="xl66">
    <w:name w:val="xl66"/>
    <w:basedOn w:val="Normal"/>
    <w:rsid w:val="003F5C25"/>
    <w:pP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67">
    <w:name w:val="xl67"/>
    <w:basedOn w:val="Normal"/>
    <w:rsid w:val="003F5C25"/>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8">
    <w:name w:val="xl68"/>
    <w:basedOn w:val="Normal"/>
    <w:rsid w:val="003F5C2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9">
    <w:name w:val="xl69"/>
    <w:basedOn w:val="Normal"/>
    <w:rsid w:val="003F5C25"/>
    <w:pPr>
      <w:shd w:val="clear" w:color="000000" w:fill="C0C0C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0">
    <w:name w:val="xl70"/>
    <w:basedOn w:val="Normal"/>
    <w:rsid w:val="003F5C25"/>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71">
    <w:name w:val="xl71"/>
    <w:basedOn w:val="Normal"/>
    <w:rsid w:val="003F5C25"/>
    <w:pPr>
      <w:shd w:val="clear" w:color="000000" w:fill="C0C0C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2">
    <w:name w:val="xl72"/>
    <w:basedOn w:val="Normal"/>
    <w:rsid w:val="003F5C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3">
    <w:name w:val="xl73"/>
    <w:basedOn w:val="Normal"/>
    <w:rsid w:val="003F5C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4">
    <w:name w:val="xl74"/>
    <w:basedOn w:val="Normal"/>
    <w:rsid w:val="003F5C2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5">
    <w:name w:val="xl75"/>
    <w:basedOn w:val="Normal"/>
    <w:rsid w:val="003F5C25"/>
    <w:pPr>
      <w:pBdr>
        <w:top w:val="single" w:sz="4" w:space="0" w:color="auto"/>
        <w:left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3F5C25"/>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7">
    <w:name w:val="xl77"/>
    <w:basedOn w:val="Normal"/>
    <w:rsid w:val="003F5C2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3F5C25"/>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3F5C25"/>
    <w:pPr>
      <w:spacing w:before="100" w:beforeAutospacing="1" w:after="100" w:afterAutospacing="1" w:line="240" w:lineRule="auto"/>
    </w:pPr>
    <w:rPr>
      <w:rFonts w:ascii="Arial" w:eastAsia="Times New Roman" w:hAnsi="Arial" w:cs="Arial"/>
      <w:sz w:val="24"/>
      <w:szCs w:val="24"/>
      <w:lang w:bidi="ar-SA"/>
    </w:rPr>
  </w:style>
  <w:style w:type="paragraph" w:customStyle="1" w:styleId="xl80">
    <w:name w:val="xl80"/>
    <w:basedOn w:val="Normal"/>
    <w:rsid w:val="003F5C25"/>
    <w:pPr>
      <w:spacing w:before="100" w:beforeAutospacing="1" w:after="100" w:afterAutospacing="1" w:line="240" w:lineRule="auto"/>
    </w:pPr>
    <w:rPr>
      <w:rFonts w:ascii="Arial" w:eastAsia="Times New Roman" w:hAnsi="Arial" w:cs="Arial"/>
      <w:b/>
      <w:bCs/>
      <w:sz w:val="24"/>
      <w:szCs w:val="24"/>
      <w:lang w:bidi="ar-SA"/>
    </w:rPr>
  </w:style>
  <w:style w:type="paragraph" w:customStyle="1" w:styleId="xl81">
    <w:name w:val="xl81"/>
    <w:basedOn w:val="Normal"/>
    <w:rsid w:val="003F5C25"/>
    <w:pP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82">
    <w:name w:val="xl82"/>
    <w:basedOn w:val="Normal"/>
    <w:rsid w:val="003F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83">
    <w:name w:val="xl83"/>
    <w:basedOn w:val="Normal"/>
    <w:rsid w:val="003F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4">
    <w:name w:val="xl84"/>
    <w:basedOn w:val="Normal"/>
    <w:rsid w:val="003F5C25"/>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85">
    <w:name w:val="xl85"/>
    <w:basedOn w:val="Normal"/>
    <w:rsid w:val="003F5C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86">
    <w:name w:val="xl86"/>
    <w:basedOn w:val="Normal"/>
    <w:rsid w:val="003F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87">
    <w:name w:val="xl87"/>
    <w:basedOn w:val="Normal"/>
    <w:rsid w:val="003F5C2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88">
    <w:name w:val="xl88"/>
    <w:basedOn w:val="Normal"/>
    <w:rsid w:val="003F5C2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89">
    <w:name w:val="xl89"/>
    <w:basedOn w:val="Normal"/>
    <w:rsid w:val="003F5C2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90">
    <w:name w:val="xl90"/>
    <w:basedOn w:val="Normal"/>
    <w:rsid w:val="003F5C2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lang w:bidi="ar-SA"/>
    </w:rPr>
  </w:style>
  <w:style w:type="paragraph" w:customStyle="1" w:styleId="xl91">
    <w:name w:val="xl91"/>
    <w:basedOn w:val="Normal"/>
    <w:rsid w:val="003F5C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2">
    <w:name w:val="xl92"/>
    <w:basedOn w:val="Normal"/>
    <w:rsid w:val="003F5C2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93">
    <w:name w:val="xl93"/>
    <w:basedOn w:val="Normal"/>
    <w:rsid w:val="003F5C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bidi="ar-SA"/>
    </w:rPr>
  </w:style>
  <w:style w:type="character" w:styleId="CommentReference">
    <w:name w:val="annotation reference"/>
    <w:basedOn w:val="DefaultParagraphFont"/>
    <w:uiPriority w:val="99"/>
    <w:semiHidden/>
    <w:unhideWhenUsed/>
    <w:rsid w:val="00A91641"/>
    <w:rPr>
      <w:sz w:val="16"/>
      <w:szCs w:val="16"/>
    </w:rPr>
  </w:style>
  <w:style w:type="paragraph" w:styleId="CommentText">
    <w:name w:val="annotation text"/>
    <w:basedOn w:val="Normal"/>
    <w:link w:val="CommentTextChar"/>
    <w:uiPriority w:val="99"/>
    <w:semiHidden/>
    <w:unhideWhenUsed/>
    <w:rsid w:val="00A91641"/>
    <w:pPr>
      <w:spacing w:line="240" w:lineRule="auto"/>
    </w:pPr>
    <w:rPr>
      <w:sz w:val="20"/>
      <w:szCs w:val="20"/>
    </w:rPr>
  </w:style>
  <w:style w:type="character" w:customStyle="1" w:styleId="CommentTextChar">
    <w:name w:val="Comment Text Char"/>
    <w:basedOn w:val="DefaultParagraphFont"/>
    <w:link w:val="CommentText"/>
    <w:uiPriority w:val="99"/>
    <w:semiHidden/>
    <w:rsid w:val="00A91641"/>
    <w:rPr>
      <w:sz w:val="20"/>
      <w:szCs w:val="20"/>
    </w:rPr>
  </w:style>
  <w:style w:type="paragraph" w:styleId="CommentSubject">
    <w:name w:val="annotation subject"/>
    <w:basedOn w:val="CommentText"/>
    <w:next w:val="CommentText"/>
    <w:link w:val="CommentSubjectChar"/>
    <w:uiPriority w:val="99"/>
    <w:semiHidden/>
    <w:unhideWhenUsed/>
    <w:rsid w:val="00A91641"/>
    <w:rPr>
      <w:b/>
      <w:bCs/>
    </w:rPr>
  </w:style>
  <w:style w:type="character" w:customStyle="1" w:styleId="CommentSubjectChar">
    <w:name w:val="Comment Subject Char"/>
    <w:basedOn w:val="CommentTextChar"/>
    <w:link w:val="CommentSubject"/>
    <w:uiPriority w:val="99"/>
    <w:semiHidden/>
    <w:rsid w:val="00A91641"/>
    <w:rPr>
      <w:b/>
      <w:bCs/>
    </w:rPr>
  </w:style>
  <w:style w:type="paragraph" w:styleId="BodyText3">
    <w:name w:val="Body Text 3"/>
    <w:basedOn w:val="Normal"/>
    <w:link w:val="BodyText3Char"/>
    <w:uiPriority w:val="99"/>
    <w:semiHidden/>
    <w:unhideWhenUsed/>
    <w:rsid w:val="00C63BC6"/>
    <w:pPr>
      <w:spacing w:after="120"/>
    </w:pPr>
    <w:rPr>
      <w:sz w:val="16"/>
      <w:szCs w:val="16"/>
    </w:rPr>
  </w:style>
  <w:style w:type="character" w:customStyle="1" w:styleId="BodyText3Char">
    <w:name w:val="Body Text 3 Char"/>
    <w:basedOn w:val="DefaultParagraphFont"/>
    <w:link w:val="BodyText3"/>
    <w:uiPriority w:val="99"/>
    <w:semiHidden/>
    <w:rsid w:val="00C63BC6"/>
    <w:rPr>
      <w:sz w:val="16"/>
      <w:szCs w:val="16"/>
    </w:rPr>
  </w:style>
  <w:style w:type="paragraph" w:styleId="Revision">
    <w:name w:val="Revision"/>
    <w:hidden/>
    <w:uiPriority w:val="99"/>
    <w:semiHidden/>
    <w:rsid w:val="000448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44296">
      <w:bodyDiv w:val="1"/>
      <w:marLeft w:val="0"/>
      <w:marRight w:val="0"/>
      <w:marTop w:val="0"/>
      <w:marBottom w:val="0"/>
      <w:divBdr>
        <w:top w:val="none" w:sz="0" w:space="0" w:color="auto"/>
        <w:left w:val="none" w:sz="0" w:space="0" w:color="auto"/>
        <w:bottom w:val="none" w:sz="0" w:space="0" w:color="auto"/>
        <w:right w:val="none" w:sz="0" w:space="0" w:color="auto"/>
      </w:divBdr>
    </w:div>
    <w:div w:id="231240046">
      <w:bodyDiv w:val="1"/>
      <w:marLeft w:val="0"/>
      <w:marRight w:val="0"/>
      <w:marTop w:val="0"/>
      <w:marBottom w:val="0"/>
      <w:divBdr>
        <w:top w:val="none" w:sz="0" w:space="0" w:color="auto"/>
        <w:left w:val="none" w:sz="0" w:space="0" w:color="auto"/>
        <w:bottom w:val="none" w:sz="0" w:space="0" w:color="auto"/>
        <w:right w:val="none" w:sz="0" w:space="0" w:color="auto"/>
      </w:divBdr>
    </w:div>
    <w:div w:id="327946111">
      <w:bodyDiv w:val="1"/>
      <w:marLeft w:val="0"/>
      <w:marRight w:val="0"/>
      <w:marTop w:val="0"/>
      <w:marBottom w:val="0"/>
      <w:divBdr>
        <w:top w:val="none" w:sz="0" w:space="0" w:color="auto"/>
        <w:left w:val="none" w:sz="0" w:space="0" w:color="auto"/>
        <w:bottom w:val="none" w:sz="0" w:space="0" w:color="auto"/>
        <w:right w:val="none" w:sz="0" w:space="0" w:color="auto"/>
      </w:divBdr>
    </w:div>
    <w:div w:id="1067340258">
      <w:bodyDiv w:val="1"/>
      <w:marLeft w:val="0"/>
      <w:marRight w:val="0"/>
      <w:marTop w:val="0"/>
      <w:marBottom w:val="0"/>
      <w:divBdr>
        <w:top w:val="none" w:sz="0" w:space="0" w:color="auto"/>
        <w:left w:val="none" w:sz="0" w:space="0" w:color="auto"/>
        <w:bottom w:val="none" w:sz="0" w:space="0" w:color="auto"/>
        <w:right w:val="none" w:sz="0" w:space="0" w:color="auto"/>
      </w:divBdr>
    </w:div>
    <w:div w:id="1100177922">
      <w:bodyDiv w:val="1"/>
      <w:marLeft w:val="0"/>
      <w:marRight w:val="0"/>
      <w:marTop w:val="0"/>
      <w:marBottom w:val="0"/>
      <w:divBdr>
        <w:top w:val="none" w:sz="0" w:space="0" w:color="auto"/>
        <w:left w:val="none" w:sz="0" w:space="0" w:color="auto"/>
        <w:bottom w:val="none" w:sz="0" w:space="0" w:color="auto"/>
        <w:right w:val="none" w:sz="0" w:space="0" w:color="auto"/>
      </w:divBdr>
      <w:divsChild>
        <w:div w:id="896861820">
          <w:marLeft w:val="0"/>
          <w:marRight w:val="0"/>
          <w:marTop w:val="0"/>
          <w:marBottom w:val="0"/>
          <w:divBdr>
            <w:top w:val="none" w:sz="0" w:space="0" w:color="auto"/>
            <w:left w:val="none" w:sz="0" w:space="0" w:color="auto"/>
            <w:bottom w:val="none" w:sz="0" w:space="0" w:color="auto"/>
            <w:right w:val="none" w:sz="0" w:space="0" w:color="auto"/>
          </w:divBdr>
          <w:divsChild>
            <w:div w:id="209417669">
              <w:marLeft w:val="0"/>
              <w:marRight w:val="0"/>
              <w:marTop w:val="0"/>
              <w:marBottom w:val="0"/>
              <w:divBdr>
                <w:top w:val="none" w:sz="0" w:space="0" w:color="auto"/>
                <w:left w:val="none" w:sz="0" w:space="0" w:color="auto"/>
                <w:bottom w:val="none" w:sz="0" w:space="0" w:color="auto"/>
                <w:right w:val="none" w:sz="0" w:space="0" w:color="auto"/>
              </w:divBdr>
              <w:divsChild>
                <w:div w:id="901713704">
                  <w:marLeft w:val="2299"/>
                  <w:marRight w:val="0"/>
                  <w:marTop w:val="0"/>
                  <w:marBottom w:val="0"/>
                  <w:divBdr>
                    <w:top w:val="none" w:sz="0" w:space="0" w:color="auto"/>
                    <w:left w:val="none" w:sz="0" w:space="0" w:color="auto"/>
                    <w:bottom w:val="none" w:sz="0" w:space="0" w:color="auto"/>
                    <w:right w:val="none" w:sz="0" w:space="0" w:color="auto"/>
                  </w:divBdr>
                  <w:divsChild>
                    <w:div w:id="773131520">
                      <w:marLeft w:val="0"/>
                      <w:marRight w:val="0"/>
                      <w:marTop w:val="0"/>
                      <w:marBottom w:val="0"/>
                      <w:divBdr>
                        <w:top w:val="none" w:sz="0" w:space="0" w:color="auto"/>
                        <w:left w:val="none" w:sz="0" w:space="0" w:color="auto"/>
                        <w:bottom w:val="none" w:sz="0" w:space="0" w:color="auto"/>
                        <w:right w:val="none" w:sz="0" w:space="0" w:color="auto"/>
                      </w:divBdr>
                      <w:divsChild>
                        <w:div w:id="1990471801">
                          <w:marLeft w:val="0"/>
                          <w:marRight w:val="0"/>
                          <w:marTop w:val="0"/>
                          <w:marBottom w:val="0"/>
                          <w:divBdr>
                            <w:top w:val="none" w:sz="0" w:space="0" w:color="auto"/>
                            <w:left w:val="none" w:sz="0" w:space="0" w:color="auto"/>
                            <w:bottom w:val="none" w:sz="0" w:space="0" w:color="auto"/>
                            <w:right w:val="none" w:sz="0" w:space="0" w:color="auto"/>
                          </w:divBdr>
                          <w:divsChild>
                            <w:div w:id="29950195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475002">
      <w:bodyDiv w:val="1"/>
      <w:marLeft w:val="0"/>
      <w:marRight w:val="0"/>
      <w:marTop w:val="0"/>
      <w:marBottom w:val="0"/>
      <w:divBdr>
        <w:top w:val="none" w:sz="0" w:space="0" w:color="auto"/>
        <w:left w:val="none" w:sz="0" w:space="0" w:color="auto"/>
        <w:bottom w:val="none" w:sz="0" w:space="0" w:color="auto"/>
        <w:right w:val="none" w:sz="0" w:space="0" w:color="auto"/>
      </w:divBdr>
    </w:div>
    <w:div w:id="176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d.admin.state.mn.us/commissionerspla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EF63-5CE9-4716-B80C-0C3287D1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737</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4928</CharactersWithSpaces>
  <SharedDoc>false</SharedDoc>
  <HLinks>
    <vt:vector size="126" baseType="variant">
      <vt:variant>
        <vt:i4>1048665</vt:i4>
      </vt:variant>
      <vt:variant>
        <vt:i4>78</vt:i4>
      </vt:variant>
      <vt:variant>
        <vt:i4>0</vt:i4>
      </vt:variant>
      <vt:variant>
        <vt:i4>5</vt:i4>
      </vt:variant>
      <vt:variant>
        <vt:lpwstr>http://workplace.doli.state.mn.us/prevwage/list.php?type=%20commercia</vt:lpwstr>
      </vt:variant>
      <vt:variant>
        <vt:lpwstr/>
      </vt:variant>
      <vt:variant>
        <vt:i4>7405627</vt:i4>
      </vt:variant>
      <vt:variant>
        <vt:i4>75</vt:i4>
      </vt:variant>
      <vt:variant>
        <vt:i4>0</vt:i4>
      </vt:variant>
      <vt:variant>
        <vt:i4>5</vt:i4>
      </vt:variant>
      <vt:variant>
        <vt:lpwstr>http://www.pca.state.mn.us/publications/wq-cwp7-20b.doc</vt:lpwstr>
      </vt:variant>
      <vt:variant>
        <vt:lpwstr/>
      </vt:variant>
      <vt:variant>
        <vt:i4>7995432</vt:i4>
      </vt:variant>
      <vt:variant>
        <vt:i4>72</vt:i4>
      </vt:variant>
      <vt:variant>
        <vt:i4>0</vt:i4>
      </vt:variant>
      <vt:variant>
        <vt:i4>5</vt:i4>
      </vt:variant>
      <vt:variant>
        <vt:lpwstr>http://www.pca.state.mn.us/publications/wq-cwp7-20e.pdf</vt:lpwstr>
      </vt:variant>
      <vt:variant>
        <vt:lpwstr/>
      </vt:variant>
      <vt:variant>
        <vt:i4>6226033</vt:i4>
      </vt:variant>
      <vt:variant>
        <vt:i4>69</vt:i4>
      </vt:variant>
      <vt:variant>
        <vt:i4>0</vt:i4>
      </vt:variant>
      <vt:variant>
        <vt:i4>5</vt:i4>
      </vt:variant>
      <vt:variant>
        <vt:lpwstr>mailto:CWP-319.grant.program@pca.state.mn.us</vt:lpwstr>
      </vt:variant>
      <vt:variant>
        <vt:lpwstr/>
      </vt:variant>
      <vt:variant>
        <vt:i4>7405630</vt:i4>
      </vt:variant>
      <vt:variant>
        <vt:i4>66</vt:i4>
      </vt:variant>
      <vt:variant>
        <vt:i4>0</vt:i4>
      </vt:variant>
      <vt:variant>
        <vt:i4>5</vt:i4>
      </vt:variant>
      <vt:variant>
        <vt:lpwstr>http://www.pca.state.mn.us/publications/wq-cwp7-20g.doc</vt:lpwstr>
      </vt:variant>
      <vt:variant>
        <vt:lpwstr/>
      </vt:variant>
      <vt:variant>
        <vt:i4>7405629</vt:i4>
      </vt:variant>
      <vt:variant>
        <vt:i4>63</vt:i4>
      </vt:variant>
      <vt:variant>
        <vt:i4>0</vt:i4>
      </vt:variant>
      <vt:variant>
        <vt:i4>5</vt:i4>
      </vt:variant>
      <vt:variant>
        <vt:lpwstr>http://www.pca.state.mn.us/publications/wq-cwp7-20d.doc</vt:lpwstr>
      </vt:variant>
      <vt:variant>
        <vt:lpwstr/>
      </vt:variant>
      <vt:variant>
        <vt:i4>6226033</vt:i4>
      </vt:variant>
      <vt:variant>
        <vt:i4>60</vt:i4>
      </vt:variant>
      <vt:variant>
        <vt:i4>0</vt:i4>
      </vt:variant>
      <vt:variant>
        <vt:i4>5</vt:i4>
      </vt:variant>
      <vt:variant>
        <vt:lpwstr>mailto:CWP-319.grant.program@pca.state.mn.us</vt:lpwstr>
      </vt:variant>
      <vt:variant>
        <vt:lpwstr/>
      </vt:variant>
      <vt:variant>
        <vt:i4>7405629</vt:i4>
      </vt:variant>
      <vt:variant>
        <vt:i4>57</vt:i4>
      </vt:variant>
      <vt:variant>
        <vt:i4>0</vt:i4>
      </vt:variant>
      <vt:variant>
        <vt:i4>5</vt:i4>
      </vt:variant>
      <vt:variant>
        <vt:lpwstr>http://www.pca.state.mn.us/publications/wq-cwp7-20d.doc</vt:lpwstr>
      </vt:variant>
      <vt:variant>
        <vt:lpwstr/>
      </vt:variant>
      <vt:variant>
        <vt:i4>3866702</vt:i4>
      </vt:variant>
      <vt:variant>
        <vt:i4>54</vt:i4>
      </vt:variant>
      <vt:variant>
        <vt:i4>0</vt:i4>
      </vt:variant>
      <vt:variant>
        <vt:i4>5</vt:i4>
      </vt:variant>
      <vt:variant>
        <vt:lpwstr>CWP-319.grant.program@pca.state.mn.us</vt:lpwstr>
      </vt:variant>
      <vt:variant>
        <vt:lpwstr/>
      </vt:variant>
      <vt:variant>
        <vt:i4>7995432</vt:i4>
      </vt:variant>
      <vt:variant>
        <vt:i4>51</vt:i4>
      </vt:variant>
      <vt:variant>
        <vt:i4>0</vt:i4>
      </vt:variant>
      <vt:variant>
        <vt:i4>5</vt:i4>
      </vt:variant>
      <vt:variant>
        <vt:lpwstr>http://www.pca.state.mn.us/publications/wq-cwp7-20e.pdf</vt:lpwstr>
      </vt:variant>
      <vt:variant>
        <vt:lpwstr/>
      </vt:variant>
      <vt:variant>
        <vt:i4>6226033</vt:i4>
      </vt:variant>
      <vt:variant>
        <vt:i4>48</vt:i4>
      </vt:variant>
      <vt:variant>
        <vt:i4>0</vt:i4>
      </vt:variant>
      <vt:variant>
        <vt:i4>5</vt:i4>
      </vt:variant>
      <vt:variant>
        <vt:lpwstr>mailto:CWP-319.grant.program@pca.state.mn.us</vt:lpwstr>
      </vt:variant>
      <vt:variant>
        <vt:lpwstr/>
      </vt:variant>
      <vt:variant>
        <vt:i4>1441856</vt:i4>
      </vt:variant>
      <vt:variant>
        <vt:i4>39</vt:i4>
      </vt:variant>
      <vt:variant>
        <vt:i4>0</vt:i4>
      </vt:variant>
      <vt:variant>
        <vt:i4>5</vt:i4>
      </vt:variant>
      <vt:variant>
        <vt:lpwstr>http://www.admin.state.mn.us/documents/grants_policy_08-06.pdf</vt:lpwstr>
      </vt:variant>
      <vt:variant>
        <vt:lpwstr/>
      </vt:variant>
      <vt:variant>
        <vt:i4>1245249</vt:i4>
      </vt:variant>
      <vt:variant>
        <vt:i4>36</vt:i4>
      </vt:variant>
      <vt:variant>
        <vt:i4>0</vt:i4>
      </vt:variant>
      <vt:variant>
        <vt:i4>5</vt:i4>
      </vt:variant>
      <vt:variant>
        <vt:lpwstr>http://www.admin.state.mn.us/documents/grants_policy_08-13.pdf</vt:lpwstr>
      </vt:variant>
      <vt:variant>
        <vt:lpwstr/>
      </vt:variant>
      <vt:variant>
        <vt:i4>5505028</vt:i4>
      </vt:variant>
      <vt:variant>
        <vt:i4>33</vt:i4>
      </vt:variant>
      <vt:variant>
        <vt:i4>0</vt:i4>
      </vt:variant>
      <vt:variant>
        <vt:i4>5</vt:i4>
      </vt:variant>
      <vt:variant>
        <vt:lpwstr>http://www.pca.state.mn.us/publications/reports/lrwq-s-lsy09.pdf</vt:lpwstr>
      </vt:variant>
      <vt:variant>
        <vt:lpwstr/>
      </vt:variant>
      <vt:variant>
        <vt:i4>7077920</vt:i4>
      </vt:variant>
      <vt:variant>
        <vt:i4>18</vt:i4>
      </vt:variant>
      <vt:variant>
        <vt:i4>0</vt:i4>
      </vt:variant>
      <vt:variant>
        <vt:i4>5</vt:i4>
      </vt:variant>
      <vt:variant>
        <vt:lpwstr>http://www.epa.gov/owow/nps/cwact.html</vt:lpwstr>
      </vt:variant>
      <vt:variant>
        <vt:lpwstr/>
      </vt:variant>
      <vt:variant>
        <vt:i4>7995430</vt:i4>
      </vt:variant>
      <vt:variant>
        <vt:i4>15</vt:i4>
      </vt:variant>
      <vt:variant>
        <vt:i4>0</vt:i4>
      </vt:variant>
      <vt:variant>
        <vt:i4>5</vt:i4>
      </vt:variant>
      <vt:variant>
        <vt:lpwstr>http://www.pca.state.mn.us/publications/wq-cwp7-20k.pdf</vt:lpwstr>
      </vt:variant>
      <vt:variant>
        <vt:lpwstr/>
      </vt:variant>
      <vt:variant>
        <vt:i4>327748</vt:i4>
      </vt:variant>
      <vt:variant>
        <vt:i4>12</vt:i4>
      </vt:variant>
      <vt:variant>
        <vt:i4>0</vt:i4>
      </vt:variant>
      <vt:variant>
        <vt:i4>5</vt:i4>
      </vt:variant>
      <vt:variant>
        <vt:lpwstr>http://www.pca.state.mn.us/water/nonpoint/mplan.html</vt:lpwstr>
      </vt:variant>
      <vt:variant>
        <vt:lpwstr/>
      </vt:variant>
      <vt:variant>
        <vt:i4>1900626</vt:i4>
      </vt:variant>
      <vt:variant>
        <vt:i4>9</vt:i4>
      </vt:variant>
      <vt:variant>
        <vt:i4>0</vt:i4>
      </vt:variant>
      <vt:variant>
        <vt:i4>5</vt:i4>
      </vt:variant>
      <vt:variant>
        <vt:lpwstr>http://www.pca.state.mn.us/hot/feedlot-countyprogram.html</vt:lpwstr>
      </vt:variant>
      <vt:variant>
        <vt:lpwstr/>
      </vt:variant>
      <vt:variant>
        <vt:i4>6226033</vt:i4>
      </vt:variant>
      <vt:variant>
        <vt:i4>6</vt:i4>
      </vt:variant>
      <vt:variant>
        <vt:i4>0</vt:i4>
      </vt:variant>
      <vt:variant>
        <vt:i4>5</vt:i4>
      </vt:variant>
      <vt:variant>
        <vt:lpwstr>mailto:CWP-319.grant.program@pca.state.mn.us</vt:lpwstr>
      </vt:variant>
      <vt:variant>
        <vt:lpwstr/>
      </vt:variant>
      <vt:variant>
        <vt:i4>5373987</vt:i4>
      </vt:variant>
      <vt:variant>
        <vt:i4>3</vt:i4>
      </vt:variant>
      <vt:variant>
        <vt:i4>0</vt:i4>
      </vt:variant>
      <vt:variant>
        <vt:i4>5</vt:i4>
      </vt:variant>
      <vt:variant>
        <vt:lpwstr>http://wrc.umn.edu/prod/groups/cfans/@pub/@cfans/@wrc/documents/asset/cfans_asset_115819.pdf</vt:lpwstr>
      </vt:variant>
      <vt:variant>
        <vt:lpwstr/>
      </vt:variant>
      <vt:variant>
        <vt:i4>327748</vt:i4>
      </vt:variant>
      <vt:variant>
        <vt:i4>0</vt:i4>
      </vt:variant>
      <vt:variant>
        <vt:i4>0</vt:i4>
      </vt:variant>
      <vt:variant>
        <vt:i4>5</vt:i4>
      </vt:variant>
      <vt:variant>
        <vt:lpwstr>http://www.pca.state.mn.us/water/nonpoint/mplan.html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Mary Heininger</cp:lastModifiedBy>
  <cp:revision>5</cp:revision>
  <cp:lastPrinted>2011-02-23T16:58:00Z</cp:lastPrinted>
  <dcterms:created xsi:type="dcterms:W3CDTF">2011-04-25T17:41:00Z</dcterms:created>
  <dcterms:modified xsi:type="dcterms:W3CDTF">2011-08-04T21:40:00Z</dcterms:modified>
</cp:coreProperties>
</file>