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3888"/>
        <w:gridCol w:w="6840"/>
      </w:tblGrid>
      <w:tr w:rsidR="00B872A3" w:rsidTr="000F48DB">
        <w:trPr>
          <w:cantSplit/>
          <w:trHeight w:val="1350"/>
        </w:trPr>
        <w:tc>
          <w:tcPr>
            <w:tcW w:w="3888" w:type="dxa"/>
          </w:tcPr>
          <w:p w:rsidR="00B872A3" w:rsidRDefault="00B872A3" w:rsidP="000F48DB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2390775" cy="895350"/>
                  <wp:effectExtent l="0" t="0" r="9525" b="0"/>
                  <wp:docPr id="6" name="Picture 6" descr="ol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l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B872A3" w:rsidRPr="00D754FA" w:rsidRDefault="00D754FA" w:rsidP="000F48DB">
            <w:pPr>
              <w:spacing w:before="120"/>
              <w:jc w:val="right"/>
              <w:rPr>
                <w:rFonts w:ascii="Trebuchet MS" w:hAnsi="Trebuchet MS"/>
                <w:bCs/>
                <w:spacing w:val="-5"/>
                <w:sz w:val="32"/>
                <w:szCs w:val="32"/>
              </w:rPr>
            </w:pPr>
            <w:r w:rsidRPr="00D754FA">
              <w:rPr>
                <w:rFonts w:ascii="Trebuchet MS" w:hAnsi="Trebuchet MS"/>
                <w:bCs/>
                <w:spacing w:val="-5"/>
                <w:sz w:val="32"/>
                <w:szCs w:val="32"/>
              </w:rPr>
              <w:t>Building Capture Study Protocol Requirements</w:t>
            </w:r>
          </w:p>
          <w:p w:rsidR="00B872A3" w:rsidRPr="00D23C8F" w:rsidRDefault="00D754FA" w:rsidP="000F48DB">
            <w:pPr>
              <w:pStyle w:val="Header"/>
              <w:tabs>
                <w:tab w:val="right" w:pos="7182"/>
              </w:tabs>
              <w:jc w:val="right"/>
              <w:rPr>
                <w:rFonts w:ascii="Arial Black" w:hAnsi="Arial Black"/>
                <w:bCs/>
                <w:sz w:val="20"/>
                <w:szCs w:val="20"/>
              </w:rPr>
            </w:pPr>
            <w:r w:rsidRPr="00D23C8F">
              <w:rPr>
                <w:rFonts w:ascii="Arial Black" w:hAnsi="Arial Black"/>
                <w:bCs/>
                <w:sz w:val="20"/>
                <w:szCs w:val="20"/>
              </w:rPr>
              <w:t>Air Permitting</w:t>
            </w:r>
            <w:r w:rsidR="0043768A" w:rsidRPr="00D23C8F">
              <w:rPr>
                <w:rFonts w:ascii="Arial Black" w:hAnsi="Arial Black"/>
                <w:bCs/>
                <w:sz w:val="20"/>
                <w:szCs w:val="20"/>
              </w:rPr>
              <w:t xml:space="preserve">, </w:t>
            </w:r>
            <w:r w:rsidR="00CD2FB9">
              <w:rPr>
                <w:rFonts w:ascii="Arial Black" w:hAnsi="Arial Black"/>
                <w:bCs/>
                <w:sz w:val="20"/>
                <w:szCs w:val="20"/>
              </w:rPr>
              <w:t>Monitoring</w:t>
            </w:r>
            <w:r w:rsidRPr="00D23C8F">
              <w:rPr>
                <w:rFonts w:ascii="Arial Black" w:hAnsi="Arial Black"/>
                <w:bCs/>
                <w:sz w:val="20"/>
                <w:szCs w:val="20"/>
              </w:rPr>
              <w:t xml:space="preserve"> and Modeling</w:t>
            </w:r>
          </w:p>
          <w:p w:rsidR="00B872A3" w:rsidRPr="006A600E" w:rsidRDefault="00B872A3" w:rsidP="000F48DB">
            <w:pPr>
              <w:pStyle w:val="Header"/>
              <w:tabs>
                <w:tab w:val="right" w:pos="7182"/>
              </w:tabs>
              <w:spacing w:before="120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</w:tbl>
    <w:p w:rsidR="0066610D" w:rsidRDefault="0066610D" w:rsidP="00B82345">
      <w:pPr>
        <w:pStyle w:val="Heading1"/>
      </w:pPr>
      <w:r>
        <w:t>MPCA Building Capture Study Protocol Requirements</w:t>
      </w:r>
    </w:p>
    <w:p w:rsidR="0066610D" w:rsidRDefault="0066610D">
      <w:pPr>
        <w:rPr>
          <w:sz w:val="28"/>
        </w:rPr>
      </w:pPr>
    </w:p>
    <w:p w:rsidR="00664634" w:rsidRDefault="007311C5" w:rsidP="00E905E5">
      <w:r>
        <w:t>MPCA Staff from Air Permitting</w:t>
      </w:r>
      <w:r w:rsidR="00401A9A">
        <w:t xml:space="preserve">, </w:t>
      </w:r>
      <w:r w:rsidR="00DE3026">
        <w:t>Monitoring</w:t>
      </w:r>
      <w:r w:rsidR="0043768A">
        <w:t>,</w:t>
      </w:r>
      <w:r>
        <w:t xml:space="preserve"> and Modeling </w:t>
      </w:r>
      <w:r w:rsidR="00926C99">
        <w:t>have reviewed several</w:t>
      </w:r>
      <w:r>
        <w:t xml:space="preserve"> proposed and completed building capture studies. </w:t>
      </w:r>
      <w:r w:rsidR="00926C99">
        <w:t xml:space="preserve">Based on our review, </w:t>
      </w:r>
      <w:r w:rsidR="004D62E6">
        <w:t>various</w:t>
      </w:r>
      <w:r>
        <w:t xml:space="preserve"> requirements </w:t>
      </w:r>
      <w:r w:rsidR="00926C99">
        <w:t xml:space="preserve">were </w:t>
      </w:r>
      <w:r>
        <w:t xml:space="preserve">determined to </w:t>
      </w:r>
      <w:r w:rsidR="00926C99">
        <w:t xml:space="preserve">best </w:t>
      </w:r>
      <w:r>
        <w:t xml:space="preserve">support an adequate study of building particulate emissions. </w:t>
      </w:r>
      <w:r w:rsidR="0015707D">
        <w:t xml:space="preserve">This document is intended to outline requirements and final study deliverables for submitted </w:t>
      </w:r>
      <w:r w:rsidR="00926C99">
        <w:t>Building Capture Study Protocols (hereafter “</w:t>
      </w:r>
      <w:r>
        <w:t>Protocols</w:t>
      </w:r>
      <w:r w:rsidR="00926C99">
        <w:t>”)</w:t>
      </w:r>
      <w:r w:rsidR="00E905E5">
        <w:t xml:space="preserve"> designed to obtain necessary permitting and/or modeling information</w:t>
      </w:r>
      <w:r w:rsidR="008F12B1">
        <w:t>.</w:t>
      </w:r>
      <w:r>
        <w:t xml:space="preserve"> </w:t>
      </w:r>
      <w:r w:rsidR="008F12B1">
        <w:t xml:space="preserve"> </w:t>
      </w:r>
    </w:p>
    <w:p w:rsidR="00664634" w:rsidRDefault="00664634" w:rsidP="00E905E5"/>
    <w:p w:rsidR="00321469" w:rsidRPr="00E905E5" w:rsidRDefault="00321469" w:rsidP="00E905E5">
      <w:pPr>
        <w:pStyle w:val="Heading2"/>
        <w:numPr>
          <w:ilvl w:val="0"/>
          <w:numId w:val="21"/>
        </w:numPr>
        <w:rPr>
          <w:color w:val="365F91" w:themeColor="accent1" w:themeShade="BF"/>
        </w:rPr>
      </w:pPr>
      <w:r w:rsidRPr="00E905E5">
        <w:rPr>
          <w:color w:val="365F91" w:themeColor="accent1" w:themeShade="BF"/>
        </w:rPr>
        <w:t>Purpose</w:t>
      </w:r>
    </w:p>
    <w:p w:rsidR="00321469" w:rsidRDefault="00321469">
      <w:pPr>
        <w:rPr>
          <w:sz w:val="28"/>
        </w:rPr>
      </w:pPr>
    </w:p>
    <w:p w:rsidR="00E905E5" w:rsidRDefault="00321469" w:rsidP="00926C99">
      <w:r>
        <w:t xml:space="preserve">The purpose of </w:t>
      </w:r>
      <w:r w:rsidR="008F12B1">
        <w:t>the</w:t>
      </w:r>
      <w:r>
        <w:t xml:space="preserve"> building capture study is to determine</w:t>
      </w:r>
      <w:r w:rsidR="008F12B1">
        <w:t>,</w:t>
      </w:r>
      <w:r>
        <w:t xml:space="preserve"> for permitting</w:t>
      </w:r>
      <w:r w:rsidR="002B0560">
        <w:t xml:space="preserve"> and</w:t>
      </w:r>
      <w:r w:rsidR="00C24B55">
        <w:t>/or</w:t>
      </w:r>
      <w:r w:rsidR="002B0560">
        <w:t xml:space="preserve"> modeling</w:t>
      </w:r>
      <w:r>
        <w:t xml:space="preserve"> purposes</w:t>
      </w:r>
      <w:r w:rsidR="008F12B1">
        <w:t>, site-specific</w:t>
      </w:r>
      <w:r>
        <w:t xml:space="preserve"> emission rate</w:t>
      </w:r>
      <w:r w:rsidR="008F12B1">
        <w:t>s</w:t>
      </w:r>
      <w:r>
        <w:t xml:space="preserve"> corresponding to wind speed and wind direction from a specific building that encloses operations emitting particulate matter in the form of PM, PM</w:t>
      </w:r>
      <w:r w:rsidRPr="00321469">
        <w:rPr>
          <w:vertAlign w:val="subscript"/>
        </w:rPr>
        <w:t>10</w:t>
      </w:r>
      <w:r>
        <w:t>, and PM</w:t>
      </w:r>
      <w:r w:rsidRPr="00321469">
        <w:rPr>
          <w:vertAlign w:val="subscript"/>
        </w:rPr>
        <w:t>2.5</w:t>
      </w:r>
      <w:r>
        <w:t xml:space="preserve">. </w:t>
      </w:r>
      <w:r w:rsidR="008F12B1">
        <w:t xml:space="preserve"> Using the site-specific emission rates, an emission factor, likely in</w:t>
      </w:r>
      <w:r w:rsidR="00BA5BD4">
        <w:t xml:space="preserve"> lb/ton of received grain or</w:t>
      </w:r>
      <w:r w:rsidR="008F12B1">
        <w:t xml:space="preserve"> lb/gal of </w:t>
      </w:r>
      <w:r w:rsidR="00C24B55">
        <w:t>product</w:t>
      </w:r>
      <w:r w:rsidR="008F12B1">
        <w:t xml:space="preserve"> produced, will be calculated for each emission source. This emission </w:t>
      </w:r>
      <w:r w:rsidR="00B47E1C">
        <w:t>factor</w:t>
      </w:r>
      <w:r w:rsidR="008F12B1">
        <w:t xml:space="preserve"> and the tested</w:t>
      </w:r>
      <w:r w:rsidR="00926C99">
        <w:t xml:space="preserve"> </w:t>
      </w:r>
      <w:r>
        <w:t>emission rate</w:t>
      </w:r>
      <w:r w:rsidR="008F12B1">
        <w:t>s will be used for both permitting and modeling purposes.</w:t>
      </w:r>
      <w:r w:rsidR="00AF6F07">
        <w:t xml:space="preserve"> </w:t>
      </w:r>
    </w:p>
    <w:p w:rsidR="00E905E5" w:rsidRDefault="00E905E5" w:rsidP="00926C99"/>
    <w:p w:rsidR="00E905E5" w:rsidRDefault="00AF6F07">
      <w:pPr>
        <w:sectPr w:rsidR="00E905E5" w:rsidSect="00DB1A1C">
          <w:headerReference w:type="default" r:id="rId11"/>
          <w:footerReference w:type="default" r:id="rId1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t>E</w:t>
      </w:r>
      <w:r w:rsidR="00926C99">
        <w:t xml:space="preserve">ventually </w:t>
      </w:r>
      <w:r>
        <w:t>enough</w:t>
      </w:r>
      <w:r w:rsidR="00926C99">
        <w:t xml:space="preserve"> data </w:t>
      </w:r>
      <w:r>
        <w:t>may be obtained to</w:t>
      </w:r>
      <w:r w:rsidR="00926C99">
        <w:t xml:space="preserve"> create </w:t>
      </w:r>
      <w:r w:rsidR="008F12B1">
        <w:t xml:space="preserve">industry-wide </w:t>
      </w:r>
      <w:r>
        <w:t xml:space="preserve">emission </w:t>
      </w:r>
      <w:r w:rsidR="00926C99">
        <w:t xml:space="preserve">factors that could be used for future permitting purposes. This is </w:t>
      </w:r>
      <w:r>
        <w:t>an additional</w:t>
      </w:r>
      <w:r w:rsidR="00926C99">
        <w:t xml:space="preserve"> reason </w:t>
      </w:r>
      <w:r>
        <w:t xml:space="preserve">that </w:t>
      </w:r>
      <w:r w:rsidR="00926C99">
        <w:t xml:space="preserve">a complete and thorough study with accurate data </w:t>
      </w:r>
      <w:r>
        <w:t>and supporting information</w:t>
      </w:r>
      <w:r w:rsidR="00926C99">
        <w:t xml:space="preserve"> </w:t>
      </w:r>
      <w:r w:rsidR="00C272E0">
        <w:t>is requ</w:t>
      </w:r>
      <w:r w:rsidR="008F12B1">
        <w:t>est</w:t>
      </w:r>
      <w:r w:rsidR="00C272E0">
        <w:t>ed</w:t>
      </w:r>
      <w:r>
        <w:t>.</w:t>
      </w:r>
    </w:p>
    <w:p w:rsidR="00516935" w:rsidRDefault="00516935"/>
    <w:p w:rsidR="00337423" w:rsidRDefault="00337423" w:rsidP="00E905E5">
      <w:pPr>
        <w:pStyle w:val="Heading2"/>
        <w:numPr>
          <w:ilvl w:val="0"/>
          <w:numId w:val="21"/>
        </w:numPr>
        <w:rPr>
          <w:color w:val="365F91" w:themeColor="accent1" w:themeShade="BF"/>
        </w:rPr>
      </w:pPr>
      <w:r w:rsidRPr="00E905E5">
        <w:rPr>
          <w:color w:val="365F91" w:themeColor="accent1" w:themeShade="BF"/>
        </w:rPr>
        <w:t>Requirements</w:t>
      </w:r>
    </w:p>
    <w:p w:rsidR="00E905E5" w:rsidRPr="00E905E5" w:rsidRDefault="00E905E5" w:rsidP="00E905E5"/>
    <w:p w:rsidR="00337423" w:rsidRDefault="00044A8E">
      <w:r>
        <w:t>Protocols</w:t>
      </w:r>
      <w:r w:rsidR="00357EC1">
        <w:t xml:space="preserve"> </w:t>
      </w:r>
      <w:r>
        <w:t>should be submitted for MPCA review, and should include all aspects of, but are not limited to, the following requirements.</w:t>
      </w:r>
    </w:p>
    <w:p w:rsidR="00E652D4" w:rsidRDefault="00E652D4"/>
    <w:p w:rsidR="00E652D4" w:rsidRDefault="00E652D4">
      <w:r>
        <w:t>All underlined requirements should be included with the final report.</w:t>
      </w:r>
    </w:p>
    <w:p w:rsidR="00337423" w:rsidRDefault="00337423">
      <w:pPr>
        <w:rPr>
          <w:sz w:val="28"/>
        </w:rPr>
      </w:pPr>
    </w:p>
    <w:p w:rsidR="00337423" w:rsidRPr="00E905E5" w:rsidRDefault="004C307A">
      <w:pPr>
        <w:rPr>
          <w:rFonts w:asciiTheme="majorHAnsi" w:hAnsiTheme="majorHAnsi"/>
        </w:rPr>
      </w:pPr>
      <w:r w:rsidRPr="00E905E5">
        <w:rPr>
          <w:rFonts w:asciiTheme="majorHAnsi" w:hAnsiTheme="majorHAnsi"/>
          <w:b/>
          <w:sz w:val="24"/>
        </w:rPr>
        <w:t>Table 2.1</w:t>
      </w:r>
      <w:r w:rsidRPr="00E905E5">
        <w:rPr>
          <w:rFonts w:asciiTheme="majorHAnsi" w:hAnsiTheme="majorHAnsi"/>
          <w:b/>
        </w:rPr>
        <w:t>:</w:t>
      </w:r>
      <w:r w:rsidRPr="00E905E5">
        <w:rPr>
          <w:rFonts w:asciiTheme="majorHAnsi" w:hAnsiTheme="majorHAnsi"/>
        </w:rPr>
        <w:t xml:space="preserve"> </w:t>
      </w:r>
      <w:r w:rsidR="00E35371" w:rsidRPr="00E905E5">
        <w:rPr>
          <w:rFonts w:asciiTheme="majorHAnsi" w:hAnsiTheme="majorHAnsi"/>
          <w:sz w:val="24"/>
        </w:rPr>
        <w:t>Instrumentation and Set Up</w:t>
      </w:r>
    </w:p>
    <w:p w:rsidR="00E35371" w:rsidRDefault="00E35371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7848"/>
      </w:tblGrid>
      <w:tr w:rsidR="00AC3D9E" w:rsidTr="005336E9">
        <w:tc>
          <w:tcPr>
            <w:tcW w:w="3168" w:type="dxa"/>
          </w:tcPr>
          <w:p w:rsidR="00AC3D9E" w:rsidRPr="00AC3D9E" w:rsidRDefault="00AC3D9E">
            <w:pPr>
              <w:rPr>
                <w:b/>
              </w:rPr>
            </w:pPr>
            <w:r w:rsidRPr="00AC3D9E">
              <w:rPr>
                <w:b/>
              </w:rPr>
              <w:t>Subject</w:t>
            </w:r>
          </w:p>
        </w:tc>
        <w:tc>
          <w:tcPr>
            <w:tcW w:w="7848" w:type="dxa"/>
          </w:tcPr>
          <w:p w:rsidR="00AC3D9E" w:rsidRPr="00AC3D9E" w:rsidRDefault="002819FA">
            <w:pPr>
              <w:rPr>
                <w:b/>
              </w:rPr>
            </w:pPr>
            <w:r>
              <w:rPr>
                <w:b/>
              </w:rPr>
              <w:t>Requirements</w:t>
            </w:r>
          </w:p>
        </w:tc>
      </w:tr>
      <w:tr w:rsidR="00AC3D9E" w:rsidTr="005336E9">
        <w:tc>
          <w:tcPr>
            <w:tcW w:w="3168" w:type="dxa"/>
          </w:tcPr>
          <w:p w:rsidR="00AC3D9E" w:rsidRDefault="00AC3D9E" w:rsidP="00896B82">
            <w:pPr>
              <w:pStyle w:val="ListParagraph"/>
              <w:numPr>
                <w:ilvl w:val="0"/>
                <w:numId w:val="8"/>
              </w:numPr>
            </w:pPr>
            <w:r>
              <w:t>Instrumentation for Particulate Monitors</w:t>
            </w:r>
          </w:p>
        </w:tc>
        <w:tc>
          <w:tcPr>
            <w:tcW w:w="7848" w:type="dxa"/>
          </w:tcPr>
          <w:p w:rsidR="002819FA" w:rsidRDefault="00AC3D9E" w:rsidP="002819FA">
            <w:pPr>
              <w:pStyle w:val="ListParagraph"/>
              <w:numPr>
                <w:ilvl w:val="0"/>
                <w:numId w:val="4"/>
              </w:numPr>
            </w:pPr>
            <w:r>
              <w:t>Instrumentation must be EPA</w:t>
            </w:r>
            <w:r w:rsidR="00AF6F07">
              <w:t>-</w:t>
            </w:r>
            <w:r>
              <w:t>approved method (e.g.</w:t>
            </w:r>
            <w:r w:rsidR="00EE7A66">
              <w:t>,</w:t>
            </w:r>
            <w:r>
              <w:t xml:space="preserve"> Met One E-Sampler, E-</w:t>
            </w:r>
            <w:r w:rsidR="00F051C5">
              <w:t>BAM or equivalent)</w:t>
            </w:r>
            <w:r>
              <w:t xml:space="preserve">. This method must be </w:t>
            </w:r>
            <w:r w:rsidR="00AF6F07">
              <w:t>specified</w:t>
            </w:r>
            <w:r>
              <w:t xml:space="preserve"> in the proposal.</w:t>
            </w:r>
          </w:p>
          <w:p w:rsidR="00AC3D9E" w:rsidRDefault="00F051C5" w:rsidP="002819FA">
            <w:pPr>
              <w:pStyle w:val="ListParagraph"/>
              <w:numPr>
                <w:ilvl w:val="0"/>
                <w:numId w:val="4"/>
              </w:numPr>
            </w:pPr>
            <w:r>
              <w:t>I</w:t>
            </w:r>
            <w:r w:rsidR="00AC3D9E">
              <w:t>nclude sampling equipment manufacturer</w:t>
            </w:r>
            <w:r w:rsidR="00AF6F07">
              <w:t>’</w:t>
            </w:r>
            <w:r w:rsidR="00AC3D9E">
              <w:t>s operating method (e.g.</w:t>
            </w:r>
            <w:r w:rsidR="00EE7A66">
              <w:t>,</w:t>
            </w:r>
            <w:r w:rsidR="00AC3D9E">
              <w:t xml:space="preserve"> controlled sampling flow rates, etc.)</w:t>
            </w:r>
            <w:r w:rsidR="00C13900">
              <w:t>.</w:t>
            </w:r>
          </w:p>
        </w:tc>
      </w:tr>
      <w:tr w:rsidR="00AC3D9E" w:rsidTr="005336E9">
        <w:tc>
          <w:tcPr>
            <w:tcW w:w="3168" w:type="dxa"/>
          </w:tcPr>
          <w:p w:rsidR="00AC3D9E" w:rsidRDefault="00F051C5" w:rsidP="00896B82">
            <w:pPr>
              <w:pStyle w:val="ListParagraph"/>
              <w:numPr>
                <w:ilvl w:val="0"/>
                <w:numId w:val="8"/>
              </w:numPr>
            </w:pPr>
            <w:r>
              <w:t xml:space="preserve">Particulate </w:t>
            </w:r>
            <w:r w:rsidR="00AC3D9E">
              <w:t>Monitor</w:t>
            </w:r>
            <w:r w:rsidR="00DB51E9">
              <w:t xml:space="preserve"> </w:t>
            </w:r>
            <w:r>
              <w:t>Location</w:t>
            </w:r>
            <w:r w:rsidR="00E07CB9">
              <w:t>s</w:t>
            </w:r>
          </w:p>
        </w:tc>
        <w:tc>
          <w:tcPr>
            <w:tcW w:w="7848" w:type="dxa"/>
          </w:tcPr>
          <w:p w:rsidR="002819FA" w:rsidRDefault="00AC3D9E" w:rsidP="002819FA">
            <w:pPr>
              <w:pStyle w:val="ListParagraph"/>
              <w:numPr>
                <w:ilvl w:val="0"/>
                <w:numId w:val="4"/>
              </w:numPr>
            </w:pPr>
            <w:r>
              <w:t xml:space="preserve">Monitors shall </w:t>
            </w:r>
            <w:r w:rsidR="00F051C5">
              <w:t>be placed at all</w:t>
            </w:r>
            <w:r w:rsidR="00926C99">
              <w:t xml:space="preserve"> key</w:t>
            </w:r>
            <w:r w:rsidR="00F051C5">
              <w:t xml:space="preserve"> building openings during all runs</w:t>
            </w:r>
            <w:r w:rsidR="00C272E0">
              <w:t xml:space="preserve"> (e.g.</w:t>
            </w:r>
            <w:r w:rsidR="00EE7A66">
              <w:t>,</w:t>
            </w:r>
            <w:r w:rsidR="00926C99">
              <w:t xml:space="preserve"> bay doors for trucks and railroad cars)</w:t>
            </w:r>
            <w:r w:rsidR="00F051C5">
              <w:t xml:space="preserve">. </w:t>
            </w:r>
          </w:p>
          <w:p w:rsidR="00AC3D9E" w:rsidRPr="00F051C5" w:rsidRDefault="00F051C5" w:rsidP="002819FA">
            <w:pPr>
              <w:pStyle w:val="ListParagraph"/>
              <w:numPr>
                <w:ilvl w:val="0"/>
                <w:numId w:val="4"/>
              </w:numPr>
            </w:pPr>
            <w:r>
              <w:t>A diagram shall be included showing the location of the measurement points.</w:t>
            </w:r>
          </w:p>
        </w:tc>
      </w:tr>
      <w:tr w:rsidR="00AC3D9E" w:rsidTr="005336E9">
        <w:tc>
          <w:tcPr>
            <w:tcW w:w="3168" w:type="dxa"/>
          </w:tcPr>
          <w:p w:rsidR="00AC3D9E" w:rsidRDefault="00F051C5" w:rsidP="00896B82">
            <w:pPr>
              <w:pStyle w:val="ListParagraph"/>
              <w:numPr>
                <w:ilvl w:val="0"/>
                <w:numId w:val="8"/>
              </w:numPr>
            </w:pPr>
            <w:r>
              <w:t>Quality Assurance/ Quality Control</w:t>
            </w:r>
          </w:p>
        </w:tc>
        <w:tc>
          <w:tcPr>
            <w:tcW w:w="7848" w:type="dxa"/>
          </w:tcPr>
          <w:p w:rsidR="00AC3D9E" w:rsidRDefault="00F051C5" w:rsidP="002819FA">
            <w:pPr>
              <w:pStyle w:val="ListParagraph"/>
              <w:numPr>
                <w:ilvl w:val="0"/>
                <w:numId w:val="4"/>
              </w:numPr>
            </w:pPr>
            <w:r>
              <w:t xml:space="preserve">A complete QA/QC </w:t>
            </w:r>
            <w:r w:rsidR="00AF6F07">
              <w:t xml:space="preserve">Plan </w:t>
            </w:r>
            <w:r>
              <w:t>needs to be submitted to ensure that data collected is representative.</w:t>
            </w:r>
          </w:p>
        </w:tc>
      </w:tr>
      <w:tr w:rsidR="00AC3D9E" w:rsidTr="005336E9">
        <w:tc>
          <w:tcPr>
            <w:tcW w:w="3168" w:type="dxa"/>
          </w:tcPr>
          <w:p w:rsidR="00AC3D9E" w:rsidRDefault="00225D7D" w:rsidP="00896B82">
            <w:pPr>
              <w:pStyle w:val="ListParagraph"/>
              <w:numPr>
                <w:ilvl w:val="0"/>
                <w:numId w:val="8"/>
              </w:numPr>
            </w:pPr>
            <w:r>
              <w:t xml:space="preserve">Instrumentation for </w:t>
            </w:r>
            <w:r w:rsidR="00E07CB9">
              <w:t>O</w:t>
            </w:r>
            <w:r>
              <w:t>n-site Meteorological Monitor</w:t>
            </w:r>
          </w:p>
        </w:tc>
        <w:tc>
          <w:tcPr>
            <w:tcW w:w="7848" w:type="dxa"/>
          </w:tcPr>
          <w:p w:rsidR="00AC3D9E" w:rsidRDefault="00225D7D" w:rsidP="002819FA">
            <w:pPr>
              <w:pStyle w:val="ListParagraph"/>
              <w:numPr>
                <w:ilvl w:val="0"/>
                <w:numId w:val="4"/>
              </w:numPr>
            </w:pPr>
            <w:r>
              <w:t>Identify reference method and include copy</w:t>
            </w:r>
            <w:r w:rsidR="00C13900">
              <w:t>.</w:t>
            </w:r>
          </w:p>
          <w:p w:rsidR="002819FA" w:rsidRDefault="00225D7D" w:rsidP="002819FA">
            <w:pPr>
              <w:pStyle w:val="ListParagraph"/>
              <w:numPr>
                <w:ilvl w:val="0"/>
                <w:numId w:val="4"/>
              </w:numPr>
            </w:pPr>
            <w:r>
              <w:t xml:space="preserve">Identify </w:t>
            </w:r>
            <w:r w:rsidR="00900B17">
              <w:t xml:space="preserve">the specific </w:t>
            </w:r>
            <w:r>
              <w:t xml:space="preserve">reference method procedure that will be used on site. </w:t>
            </w:r>
          </w:p>
          <w:p w:rsidR="00225D7D" w:rsidRDefault="00225D7D" w:rsidP="002819FA">
            <w:pPr>
              <w:pStyle w:val="ListParagraph"/>
              <w:numPr>
                <w:ilvl w:val="0"/>
                <w:numId w:val="4"/>
              </w:numPr>
            </w:pPr>
            <w:r>
              <w:t>Identify method for location of monitor.</w:t>
            </w:r>
          </w:p>
        </w:tc>
      </w:tr>
      <w:tr w:rsidR="00AC3D9E" w:rsidTr="005336E9">
        <w:tc>
          <w:tcPr>
            <w:tcW w:w="3168" w:type="dxa"/>
          </w:tcPr>
          <w:p w:rsidR="00AC3D9E" w:rsidRDefault="00BF405F" w:rsidP="00BF405F">
            <w:pPr>
              <w:pStyle w:val="ListParagraph"/>
              <w:numPr>
                <w:ilvl w:val="0"/>
                <w:numId w:val="8"/>
              </w:numPr>
            </w:pPr>
            <w:r>
              <w:t xml:space="preserve">Instrument </w:t>
            </w:r>
            <w:r w:rsidR="00E07CB9">
              <w:t>M</w:t>
            </w:r>
            <w:r>
              <w:t xml:space="preserve">aintenance and </w:t>
            </w:r>
            <w:r w:rsidR="00E07CB9">
              <w:t>U</w:t>
            </w:r>
            <w:r>
              <w:t xml:space="preserve">pkeep </w:t>
            </w:r>
          </w:p>
        </w:tc>
        <w:tc>
          <w:tcPr>
            <w:tcW w:w="7848" w:type="dxa"/>
          </w:tcPr>
          <w:p w:rsidR="00AC3D9E" w:rsidRPr="006B66F3" w:rsidRDefault="00BF405F" w:rsidP="00BF405F">
            <w:pPr>
              <w:pStyle w:val="ListParagraph"/>
              <w:numPr>
                <w:ilvl w:val="0"/>
                <w:numId w:val="4"/>
              </w:numPr>
              <w:rPr>
                <w:u w:val="single"/>
              </w:rPr>
            </w:pPr>
            <w:r w:rsidRPr="006B66F3">
              <w:rPr>
                <w:u w:val="single"/>
              </w:rPr>
              <w:t xml:space="preserve">Documentation of compliance with manufacturer specifications for instrument upkeep must be presented in </w:t>
            </w:r>
            <w:r w:rsidR="00E07CB9">
              <w:rPr>
                <w:u w:val="single"/>
              </w:rPr>
              <w:t xml:space="preserve">the </w:t>
            </w:r>
            <w:r w:rsidRPr="006B66F3">
              <w:rPr>
                <w:u w:val="single"/>
              </w:rPr>
              <w:t>final report.</w:t>
            </w:r>
          </w:p>
        </w:tc>
      </w:tr>
    </w:tbl>
    <w:p w:rsidR="00DB1A1C" w:rsidRDefault="00DB1A1C"/>
    <w:p w:rsidR="00E35371" w:rsidRPr="00E905E5" w:rsidRDefault="00771FFD">
      <w:pPr>
        <w:rPr>
          <w:rFonts w:asciiTheme="majorHAnsi" w:hAnsiTheme="majorHAnsi"/>
          <w:sz w:val="24"/>
        </w:rPr>
      </w:pPr>
      <w:r w:rsidRPr="00E905E5">
        <w:rPr>
          <w:rFonts w:asciiTheme="majorHAnsi" w:hAnsiTheme="majorHAnsi"/>
          <w:b/>
          <w:sz w:val="24"/>
        </w:rPr>
        <w:t>Table 2.2:</w:t>
      </w:r>
      <w:r w:rsidRPr="00E905E5">
        <w:rPr>
          <w:rFonts w:asciiTheme="majorHAnsi" w:hAnsiTheme="majorHAnsi"/>
          <w:sz w:val="24"/>
        </w:rPr>
        <w:t xml:space="preserve"> </w:t>
      </w:r>
      <w:r w:rsidR="00E35371" w:rsidRPr="00E905E5">
        <w:rPr>
          <w:rFonts w:asciiTheme="majorHAnsi" w:hAnsiTheme="majorHAnsi"/>
          <w:sz w:val="24"/>
        </w:rPr>
        <w:t>Meteorological Data</w:t>
      </w:r>
      <w:r w:rsidR="00E07CB9" w:rsidRPr="00E905E5">
        <w:rPr>
          <w:rFonts w:asciiTheme="majorHAnsi" w:hAnsiTheme="majorHAnsi"/>
          <w:sz w:val="24"/>
        </w:rPr>
        <w:t xml:space="preserve"> </w:t>
      </w:r>
      <w:r w:rsidR="00E35371" w:rsidRPr="00E905E5">
        <w:rPr>
          <w:rFonts w:asciiTheme="majorHAnsi" w:hAnsiTheme="majorHAnsi"/>
          <w:sz w:val="24"/>
        </w:rPr>
        <w:t>and Conditions</w:t>
      </w:r>
    </w:p>
    <w:p w:rsidR="002819FA" w:rsidRPr="002819FA" w:rsidRDefault="002819FA" w:rsidP="00F30697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7848"/>
      </w:tblGrid>
      <w:tr w:rsidR="00E23304" w:rsidTr="005336E9">
        <w:tc>
          <w:tcPr>
            <w:tcW w:w="3168" w:type="dxa"/>
          </w:tcPr>
          <w:p w:rsidR="00E23304" w:rsidRPr="00AC3D9E" w:rsidRDefault="00E23304" w:rsidP="0077461E">
            <w:pPr>
              <w:rPr>
                <w:b/>
              </w:rPr>
            </w:pPr>
            <w:r w:rsidRPr="00AC3D9E">
              <w:rPr>
                <w:b/>
              </w:rPr>
              <w:t>Subject</w:t>
            </w:r>
          </w:p>
        </w:tc>
        <w:tc>
          <w:tcPr>
            <w:tcW w:w="7848" w:type="dxa"/>
          </w:tcPr>
          <w:p w:rsidR="00E23304" w:rsidRPr="00AC3D9E" w:rsidRDefault="00E23304" w:rsidP="0077461E">
            <w:pPr>
              <w:rPr>
                <w:b/>
              </w:rPr>
            </w:pPr>
            <w:r>
              <w:rPr>
                <w:b/>
              </w:rPr>
              <w:t>Requirements</w:t>
            </w:r>
          </w:p>
        </w:tc>
      </w:tr>
      <w:tr w:rsidR="00E23304" w:rsidTr="005336E9">
        <w:tc>
          <w:tcPr>
            <w:tcW w:w="3168" w:type="dxa"/>
          </w:tcPr>
          <w:p w:rsidR="00E23304" w:rsidRPr="00834CA2" w:rsidRDefault="00E07CB9" w:rsidP="00834CA2">
            <w:pPr>
              <w:pStyle w:val="ListParagraph"/>
              <w:numPr>
                <w:ilvl w:val="0"/>
                <w:numId w:val="9"/>
              </w:numPr>
            </w:pPr>
            <w:r>
              <w:t>Timing</w:t>
            </w:r>
            <w:r w:rsidR="00B97559">
              <w:t xml:space="preserve"> </w:t>
            </w:r>
            <w:r w:rsidR="00834CA2">
              <w:t xml:space="preserve">of </w:t>
            </w:r>
            <w:r>
              <w:t>S</w:t>
            </w:r>
            <w:r w:rsidR="00834CA2">
              <w:t xml:space="preserve">tudy </w:t>
            </w:r>
            <w:r>
              <w:t>Based on Met Data</w:t>
            </w:r>
          </w:p>
        </w:tc>
        <w:tc>
          <w:tcPr>
            <w:tcW w:w="7848" w:type="dxa"/>
          </w:tcPr>
          <w:p w:rsidR="00E23304" w:rsidRPr="00834CA2" w:rsidRDefault="00834CA2" w:rsidP="00834CA2">
            <w:pPr>
              <w:pStyle w:val="ListParagraph"/>
              <w:numPr>
                <w:ilvl w:val="0"/>
                <w:numId w:val="10"/>
              </w:numPr>
              <w:rPr>
                <w:u w:val="single"/>
              </w:rPr>
            </w:pPr>
            <w:r>
              <w:t>Using the closest Met</w:t>
            </w:r>
            <w:r w:rsidR="00433002">
              <w:t>eorological</w:t>
            </w:r>
            <w:r>
              <w:t xml:space="preserve"> Data station</w:t>
            </w:r>
            <w:r w:rsidR="002B0560">
              <w:t xml:space="preserve"> (airport)</w:t>
            </w:r>
            <w:r w:rsidR="005E0BF3">
              <w:t>,</w:t>
            </w:r>
            <w:r>
              <w:t xml:space="preserve"> determine the </w:t>
            </w:r>
            <w:r w:rsidR="00926C99">
              <w:t xml:space="preserve">month with the </w:t>
            </w:r>
            <w:r>
              <w:t xml:space="preserve">highest average wind speed using the </w:t>
            </w:r>
            <w:r w:rsidR="00926C99">
              <w:t>most recent readily</w:t>
            </w:r>
            <w:r w:rsidR="00E07CB9">
              <w:t>-</w:t>
            </w:r>
            <w:r w:rsidR="00926C99">
              <w:t xml:space="preserve">available </w:t>
            </w:r>
            <w:r>
              <w:t>five years</w:t>
            </w:r>
            <w:r w:rsidR="00926C99">
              <w:t xml:space="preserve"> of meteorological</w:t>
            </w:r>
            <w:r>
              <w:t xml:space="preserve"> data. </w:t>
            </w:r>
            <w:r w:rsidR="00926C99">
              <w:t>Note: April is usually the month with the highest average wind speed in southern Minnesota.</w:t>
            </w:r>
          </w:p>
          <w:p w:rsidR="00834CA2" w:rsidRPr="00834CA2" w:rsidRDefault="00834CA2" w:rsidP="00926C99">
            <w:pPr>
              <w:pStyle w:val="ListParagraph"/>
              <w:numPr>
                <w:ilvl w:val="0"/>
                <w:numId w:val="10"/>
              </w:numPr>
              <w:rPr>
                <w:u w:val="single"/>
              </w:rPr>
            </w:pPr>
            <w:r>
              <w:t xml:space="preserve">Study shall take place </w:t>
            </w:r>
            <w:r w:rsidR="00926C99">
              <w:t xml:space="preserve">during the month with the highest average wind speed, or </w:t>
            </w:r>
            <w:r>
              <w:t xml:space="preserve">within two weeks </w:t>
            </w:r>
            <w:r w:rsidR="00926C99">
              <w:t xml:space="preserve">of the month with the </w:t>
            </w:r>
            <w:r>
              <w:t>highest average wind speed</w:t>
            </w:r>
            <w:r w:rsidR="00926C99">
              <w:t>.</w:t>
            </w:r>
          </w:p>
        </w:tc>
      </w:tr>
      <w:tr w:rsidR="00E23304" w:rsidTr="005336E9">
        <w:tc>
          <w:tcPr>
            <w:tcW w:w="3168" w:type="dxa"/>
          </w:tcPr>
          <w:p w:rsidR="00E23304" w:rsidRPr="00EA12CF" w:rsidRDefault="00E07CB9" w:rsidP="00926C99">
            <w:pPr>
              <w:pStyle w:val="ListParagraph"/>
              <w:numPr>
                <w:ilvl w:val="0"/>
                <w:numId w:val="9"/>
              </w:numPr>
              <w:rPr>
                <w:u w:val="single"/>
              </w:rPr>
            </w:pPr>
            <w:r>
              <w:t xml:space="preserve">Comparison of </w:t>
            </w:r>
            <w:r w:rsidR="00EA12CF">
              <w:t>On</w:t>
            </w:r>
            <w:r>
              <w:t>-</w:t>
            </w:r>
            <w:r w:rsidR="00EA12CF">
              <w:t>site</w:t>
            </w:r>
            <w:r w:rsidR="00926C99">
              <w:t xml:space="preserve"> </w:t>
            </w:r>
            <w:r>
              <w:t>M</w:t>
            </w:r>
            <w:r w:rsidR="00926C99">
              <w:t>et</w:t>
            </w:r>
            <w:r w:rsidR="00433002">
              <w:t>eorological</w:t>
            </w:r>
            <w:r w:rsidR="00EA12CF">
              <w:t xml:space="preserve"> </w:t>
            </w:r>
            <w:r>
              <w:t>D</w:t>
            </w:r>
            <w:r w:rsidR="00EA12CF">
              <w:t xml:space="preserve">ata and </w:t>
            </w:r>
            <w:r>
              <w:t>A</w:t>
            </w:r>
            <w:r w:rsidR="00926C99">
              <w:t xml:space="preserve">irport </w:t>
            </w:r>
            <w:r>
              <w:t>M</w:t>
            </w:r>
            <w:r w:rsidR="00EA12CF">
              <w:t>et</w:t>
            </w:r>
            <w:r w:rsidR="00433002">
              <w:t>eorological</w:t>
            </w:r>
            <w:r w:rsidR="00EA12CF">
              <w:t xml:space="preserve"> </w:t>
            </w:r>
            <w:r>
              <w:t>D</w:t>
            </w:r>
            <w:r w:rsidR="00EA12CF">
              <w:t xml:space="preserve">ata </w:t>
            </w:r>
          </w:p>
        </w:tc>
        <w:tc>
          <w:tcPr>
            <w:tcW w:w="7848" w:type="dxa"/>
          </w:tcPr>
          <w:p w:rsidR="00E23304" w:rsidRPr="006B66F3" w:rsidRDefault="00177707" w:rsidP="00433002">
            <w:pPr>
              <w:pStyle w:val="ListParagraph"/>
              <w:numPr>
                <w:ilvl w:val="0"/>
                <w:numId w:val="10"/>
              </w:numPr>
              <w:rPr>
                <w:u w:val="single"/>
              </w:rPr>
            </w:pPr>
            <w:r w:rsidRPr="006B66F3">
              <w:rPr>
                <w:u w:val="single"/>
              </w:rPr>
              <w:t xml:space="preserve">A </w:t>
            </w:r>
            <w:r w:rsidR="00926C99" w:rsidRPr="006B66F3">
              <w:rPr>
                <w:u w:val="single"/>
              </w:rPr>
              <w:t xml:space="preserve">comparison </w:t>
            </w:r>
            <w:r w:rsidRPr="006B66F3">
              <w:rPr>
                <w:u w:val="single"/>
              </w:rPr>
              <w:t>between on-site</w:t>
            </w:r>
            <w:r w:rsidR="002B0560" w:rsidRPr="006B66F3">
              <w:rPr>
                <w:u w:val="single"/>
              </w:rPr>
              <w:t xml:space="preserve"> met</w:t>
            </w:r>
            <w:r w:rsidR="00433002">
              <w:rPr>
                <w:u w:val="single"/>
              </w:rPr>
              <w:t>eorological</w:t>
            </w:r>
            <w:r w:rsidRPr="006B66F3">
              <w:rPr>
                <w:u w:val="single"/>
              </w:rPr>
              <w:t xml:space="preserve"> data and </w:t>
            </w:r>
            <w:r w:rsidR="00926C99" w:rsidRPr="006B66F3">
              <w:rPr>
                <w:u w:val="single"/>
              </w:rPr>
              <w:t xml:space="preserve">airport </w:t>
            </w:r>
            <w:r w:rsidRPr="006B66F3">
              <w:rPr>
                <w:u w:val="single"/>
              </w:rPr>
              <w:t>met</w:t>
            </w:r>
            <w:r w:rsidR="00433002">
              <w:rPr>
                <w:u w:val="single"/>
              </w:rPr>
              <w:t>eorological</w:t>
            </w:r>
            <w:r w:rsidR="002B0560" w:rsidRPr="006B66F3">
              <w:rPr>
                <w:u w:val="single"/>
              </w:rPr>
              <w:t xml:space="preserve"> </w:t>
            </w:r>
            <w:r w:rsidRPr="006B66F3">
              <w:rPr>
                <w:u w:val="single"/>
              </w:rPr>
              <w:t>data must be presented in the final analysis.</w:t>
            </w:r>
          </w:p>
        </w:tc>
      </w:tr>
    </w:tbl>
    <w:p w:rsidR="00E35371" w:rsidRDefault="00E35371">
      <w:pPr>
        <w:rPr>
          <w:u w:val="single"/>
        </w:rPr>
      </w:pPr>
    </w:p>
    <w:p w:rsidR="00DB1A1C" w:rsidRDefault="00DB1A1C">
      <w:pPr>
        <w:rPr>
          <w:b/>
          <w:sz w:val="24"/>
        </w:rPr>
        <w:sectPr w:rsidR="00DB1A1C" w:rsidSect="00DB1A1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B1A1C" w:rsidRDefault="00DB1A1C">
      <w:pPr>
        <w:rPr>
          <w:b/>
          <w:sz w:val="24"/>
        </w:rPr>
      </w:pPr>
    </w:p>
    <w:p w:rsidR="00DB1A1C" w:rsidRPr="00E905E5" w:rsidRDefault="001C76BA" w:rsidP="00DB1A1C">
      <w:pPr>
        <w:rPr>
          <w:rFonts w:asciiTheme="majorHAnsi" w:hAnsiTheme="majorHAnsi"/>
          <w:sz w:val="24"/>
        </w:rPr>
      </w:pPr>
      <w:r w:rsidRPr="00E905E5">
        <w:rPr>
          <w:rFonts w:asciiTheme="majorHAnsi" w:hAnsiTheme="majorHAnsi"/>
          <w:b/>
          <w:sz w:val="24"/>
        </w:rPr>
        <w:t>Table 2.3:</w:t>
      </w:r>
      <w:r w:rsidRPr="00E905E5">
        <w:rPr>
          <w:rFonts w:asciiTheme="majorHAnsi" w:hAnsiTheme="majorHAnsi"/>
          <w:sz w:val="24"/>
        </w:rPr>
        <w:t xml:space="preserve"> </w:t>
      </w:r>
      <w:r w:rsidR="00E35371" w:rsidRPr="00E905E5">
        <w:rPr>
          <w:rFonts w:asciiTheme="majorHAnsi" w:hAnsiTheme="majorHAnsi"/>
          <w:sz w:val="24"/>
        </w:rPr>
        <w:t xml:space="preserve">Operating Conditions </w:t>
      </w:r>
      <w:r w:rsidR="009650D1" w:rsidRPr="00E905E5">
        <w:rPr>
          <w:rFonts w:asciiTheme="majorHAnsi" w:hAnsiTheme="majorHAnsi"/>
          <w:sz w:val="24"/>
        </w:rPr>
        <w:t>during Testing</w:t>
      </w:r>
      <w:r w:rsidR="00DB1A1C" w:rsidRPr="00E905E5">
        <w:rPr>
          <w:rFonts w:asciiTheme="majorHAnsi" w:hAnsiTheme="majorHAnsi"/>
          <w:sz w:val="24"/>
        </w:rPr>
        <w:t xml:space="preserve"> </w:t>
      </w:r>
    </w:p>
    <w:p w:rsidR="004721A8" w:rsidRPr="00E905E5" w:rsidRDefault="004721A8" w:rsidP="00DB1A1C">
      <w:pPr>
        <w:rPr>
          <w:rFonts w:asciiTheme="majorHAnsi" w:hAnsiTheme="majorHAnsi"/>
          <w:sz w:val="24"/>
        </w:rPr>
      </w:pPr>
    </w:p>
    <w:tbl>
      <w:tblPr>
        <w:tblStyle w:val="TableGrid"/>
        <w:tblpPr w:leftFromText="180" w:rightFromText="180" w:vertAnchor="text" w:horzAnchor="margin" w:tblpY="1622"/>
        <w:tblW w:w="0" w:type="auto"/>
        <w:tblLook w:val="04A0" w:firstRow="1" w:lastRow="0" w:firstColumn="1" w:lastColumn="0" w:noHBand="0" w:noVBand="1"/>
      </w:tblPr>
      <w:tblGrid>
        <w:gridCol w:w="3168"/>
        <w:gridCol w:w="7848"/>
      </w:tblGrid>
      <w:tr w:rsidR="00DB1A1C" w:rsidTr="00DB1A1C">
        <w:tc>
          <w:tcPr>
            <w:tcW w:w="3168" w:type="dxa"/>
          </w:tcPr>
          <w:p w:rsidR="00DB1A1C" w:rsidRPr="00AC3D9E" w:rsidRDefault="00DB1A1C" w:rsidP="00DB1A1C">
            <w:pPr>
              <w:rPr>
                <w:b/>
              </w:rPr>
            </w:pPr>
            <w:r w:rsidRPr="00AC3D9E">
              <w:rPr>
                <w:b/>
              </w:rPr>
              <w:t>Subject</w:t>
            </w:r>
          </w:p>
        </w:tc>
        <w:tc>
          <w:tcPr>
            <w:tcW w:w="7848" w:type="dxa"/>
          </w:tcPr>
          <w:p w:rsidR="00DB1A1C" w:rsidRPr="00AC3D9E" w:rsidRDefault="00DB1A1C" w:rsidP="00DB1A1C">
            <w:pPr>
              <w:rPr>
                <w:b/>
              </w:rPr>
            </w:pPr>
            <w:r>
              <w:rPr>
                <w:b/>
              </w:rPr>
              <w:t>Requirements</w:t>
            </w:r>
          </w:p>
        </w:tc>
      </w:tr>
      <w:tr w:rsidR="00DB1A1C" w:rsidTr="00DB1A1C">
        <w:tc>
          <w:tcPr>
            <w:tcW w:w="3168" w:type="dxa"/>
          </w:tcPr>
          <w:p w:rsidR="00DB1A1C" w:rsidRPr="008001EB" w:rsidRDefault="00DB1A1C" w:rsidP="00DB1A1C">
            <w:pPr>
              <w:pStyle w:val="ListParagraph"/>
              <w:numPr>
                <w:ilvl w:val="0"/>
                <w:numId w:val="13"/>
              </w:numPr>
              <w:rPr>
                <w:u w:val="single"/>
              </w:rPr>
            </w:pPr>
            <w:r>
              <w:t>Accurate Representation of Operating Conditions</w:t>
            </w:r>
          </w:p>
        </w:tc>
        <w:tc>
          <w:tcPr>
            <w:tcW w:w="7848" w:type="dxa"/>
          </w:tcPr>
          <w:p w:rsidR="00DB1A1C" w:rsidRPr="005336E9" w:rsidRDefault="00DB1A1C" w:rsidP="00DB1A1C">
            <w:pPr>
              <w:pStyle w:val="ListParagraph"/>
              <w:numPr>
                <w:ilvl w:val="0"/>
                <w:numId w:val="14"/>
              </w:numPr>
              <w:rPr>
                <w:u w:val="single"/>
              </w:rPr>
            </w:pPr>
            <w:r>
              <w:t xml:space="preserve">Data shall be taken </w:t>
            </w:r>
            <w:r w:rsidR="00B47E1C">
              <w:t>for representative</w:t>
            </w:r>
            <w:r>
              <w:t xml:space="preserve"> operating scenarios (e.g., hopper truck, straight truck, train, or DDGS loadout).</w:t>
            </w:r>
          </w:p>
          <w:p w:rsidR="00DB1A1C" w:rsidRPr="005336E9" w:rsidRDefault="00DB1A1C" w:rsidP="00DB1A1C">
            <w:pPr>
              <w:pStyle w:val="ListParagraph"/>
              <w:numPr>
                <w:ilvl w:val="0"/>
                <w:numId w:val="14"/>
              </w:numPr>
              <w:rPr>
                <w:u w:val="single"/>
              </w:rPr>
            </w:pPr>
            <w:r>
              <w:t>Documentation of actual operation from previous year. This must include but is not limited to maximum and average number of vehicles processed per hour</w:t>
            </w:r>
            <w:r w:rsidR="00BA5BD4">
              <w:t>, typical number of straight trucks per day</w:t>
            </w:r>
            <w:r>
              <w:t xml:space="preserve"> and maximum and average amount of material processed per hour.</w:t>
            </w:r>
          </w:p>
          <w:p w:rsidR="00DB1A1C" w:rsidRPr="00A46366" w:rsidRDefault="00DB1A1C" w:rsidP="00DB1A1C">
            <w:pPr>
              <w:pStyle w:val="ListParagraph"/>
              <w:numPr>
                <w:ilvl w:val="0"/>
                <w:numId w:val="14"/>
              </w:numPr>
              <w:rPr>
                <w:u w:val="single"/>
              </w:rPr>
            </w:pPr>
            <w:r>
              <w:t>Sampling times cannot include a disproportionate amount of time when vehicles are not receiving or loading out material. (See Table 2.4 Requirement A-1)</w:t>
            </w:r>
          </w:p>
        </w:tc>
      </w:tr>
      <w:tr w:rsidR="00DB1A1C" w:rsidTr="00DB1A1C">
        <w:tc>
          <w:tcPr>
            <w:tcW w:w="3168" w:type="dxa"/>
          </w:tcPr>
          <w:p w:rsidR="00DB1A1C" w:rsidRPr="00805E61" w:rsidRDefault="00DB1A1C" w:rsidP="00DB1A1C">
            <w:pPr>
              <w:pStyle w:val="ListParagraph"/>
              <w:numPr>
                <w:ilvl w:val="0"/>
                <w:numId w:val="13"/>
              </w:numPr>
              <w:rPr>
                <w:u w:val="single"/>
              </w:rPr>
            </w:pPr>
            <w:r>
              <w:t>Operation Log</w:t>
            </w:r>
          </w:p>
        </w:tc>
        <w:tc>
          <w:tcPr>
            <w:tcW w:w="7848" w:type="dxa"/>
          </w:tcPr>
          <w:p w:rsidR="00DB1A1C" w:rsidRPr="00805E61" w:rsidRDefault="00DB1A1C" w:rsidP="00DB1A1C">
            <w:pPr>
              <w:pStyle w:val="ListParagraph"/>
              <w:numPr>
                <w:ilvl w:val="0"/>
                <w:numId w:val="14"/>
              </w:numPr>
              <w:rPr>
                <w:u w:val="single"/>
              </w:rPr>
            </w:pPr>
            <w:r>
              <w:t>An operation log must be used and maintained.</w:t>
            </w:r>
          </w:p>
          <w:p w:rsidR="00DB1A1C" w:rsidRPr="005336E9" w:rsidRDefault="00DB1A1C" w:rsidP="00DB1A1C">
            <w:pPr>
              <w:pStyle w:val="ListParagraph"/>
              <w:numPr>
                <w:ilvl w:val="0"/>
                <w:numId w:val="14"/>
              </w:numPr>
              <w:rPr>
                <w:u w:val="single"/>
              </w:rPr>
            </w:pPr>
            <w:r>
              <w:t xml:space="preserve">Log shall include </w:t>
            </w:r>
          </w:p>
          <w:p w:rsidR="00DB1A1C" w:rsidRPr="005336E9" w:rsidRDefault="00DB1A1C" w:rsidP="00DB1A1C">
            <w:pPr>
              <w:pStyle w:val="ListParagraph"/>
              <w:numPr>
                <w:ilvl w:val="1"/>
                <w:numId w:val="14"/>
              </w:numPr>
              <w:rPr>
                <w:u w:val="single"/>
              </w:rPr>
            </w:pPr>
            <w:r>
              <w:t xml:space="preserve">Type of vehicle loaded, specify type of truck, </w:t>
            </w:r>
          </w:p>
          <w:p w:rsidR="00DB1A1C" w:rsidRPr="00BA5BD4" w:rsidRDefault="00DB1A1C" w:rsidP="00DB1A1C">
            <w:pPr>
              <w:pStyle w:val="ListParagraph"/>
              <w:numPr>
                <w:ilvl w:val="1"/>
                <w:numId w:val="14"/>
              </w:numPr>
              <w:rPr>
                <w:u w:val="single"/>
              </w:rPr>
            </w:pPr>
            <w:r>
              <w:t>Date, time of day and duration of loadout/loading,</w:t>
            </w:r>
          </w:p>
          <w:p w:rsidR="00BA5BD4" w:rsidRPr="00BA5BD4" w:rsidRDefault="00BA5BD4" w:rsidP="00DB1A1C">
            <w:pPr>
              <w:pStyle w:val="ListParagraph"/>
              <w:numPr>
                <w:ilvl w:val="1"/>
                <w:numId w:val="14"/>
              </w:numPr>
              <w:rPr>
                <w:u w:val="single"/>
              </w:rPr>
            </w:pPr>
            <w:r w:rsidRPr="00BA5BD4">
              <w:rPr>
                <w:u w:val="single"/>
              </w:rPr>
              <w:t>For each loadout/loading, the amount of material processed</w:t>
            </w:r>
          </w:p>
          <w:p w:rsidR="00DB1A1C" w:rsidRPr="005336E9" w:rsidRDefault="00DB1A1C" w:rsidP="00DB1A1C">
            <w:pPr>
              <w:pStyle w:val="ListParagraph"/>
              <w:numPr>
                <w:ilvl w:val="1"/>
                <w:numId w:val="14"/>
              </w:numPr>
              <w:rPr>
                <w:u w:val="single"/>
              </w:rPr>
            </w:pPr>
            <w:r>
              <w:t>Date, time of day met</w:t>
            </w:r>
            <w:r w:rsidR="00BA5BD4">
              <w:t>eorological</w:t>
            </w:r>
            <w:r>
              <w:t xml:space="preserve"> data is collected, </w:t>
            </w:r>
          </w:p>
          <w:p w:rsidR="00DB1A1C" w:rsidRPr="002D0B15" w:rsidRDefault="00DB1A1C" w:rsidP="00DB1A1C">
            <w:pPr>
              <w:pStyle w:val="ListParagraph"/>
              <w:numPr>
                <w:ilvl w:val="1"/>
                <w:numId w:val="14"/>
              </w:numPr>
              <w:rPr>
                <w:u w:val="single"/>
              </w:rPr>
            </w:pPr>
            <w:r>
              <w:t>Date, time of day flow rate and concentration from monitors is recorded.</w:t>
            </w:r>
          </w:p>
          <w:p w:rsidR="00DB1A1C" w:rsidRPr="00805E61" w:rsidRDefault="00DB1A1C" w:rsidP="00DB1A1C">
            <w:pPr>
              <w:pStyle w:val="ListParagraph"/>
              <w:numPr>
                <w:ilvl w:val="0"/>
                <w:numId w:val="14"/>
              </w:numPr>
              <w:rPr>
                <w:u w:val="single"/>
              </w:rPr>
            </w:pPr>
            <w:r>
              <w:t>Log shall document all conditions (operation and meteorological), date and time of day that data is collected.</w:t>
            </w:r>
          </w:p>
        </w:tc>
      </w:tr>
      <w:tr w:rsidR="00DB1A1C" w:rsidTr="00DB1A1C">
        <w:tc>
          <w:tcPr>
            <w:tcW w:w="3168" w:type="dxa"/>
          </w:tcPr>
          <w:p w:rsidR="00DB1A1C" w:rsidRPr="008A3269" w:rsidRDefault="00DB1A1C" w:rsidP="00DB1A1C">
            <w:pPr>
              <w:pStyle w:val="ListParagraph"/>
              <w:numPr>
                <w:ilvl w:val="0"/>
                <w:numId w:val="13"/>
              </w:numPr>
            </w:pPr>
            <w:r>
              <w:t xml:space="preserve">Instrument and Manual Time Synchronization </w:t>
            </w:r>
          </w:p>
        </w:tc>
        <w:tc>
          <w:tcPr>
            <w:tcW w:w="7848" w:type="dxa"/>
          </w:tcPr>
          <w:p w:rsidR="00DB1A1C" w:rsidRPr="005336E9" w:rsidRDefault="00DB1A1C" w:rsidP="00DB1A1C">
            <w:pPr>
              <w:pStyle w:val="ListParagraph"/>
              <w:numPr>
                <w:ilvl w:val="0"/>
                <w:numId w:val="14"/>
              </w:numPr>
              <w:rPr>
                <w:u w:val="single"/>
              </w:rPr>
            </w:pPr>
            <w:r>
              <w:t>Use log to document that all instruments are synchronized to collect data at the same time for each trial.</w:t>
            </w:r>
          </w:p>
          <w:p w:rsidR="00DB1A1C" w:rsidRPr="008A3269" w:rsidRDefault="00DB1A1C" w:rsidP="00DB1A1C">
            <w:pPr>
              <w:pStyle w:val="ListParagraph"/>
              <w:numPr>
                <w:ilvl w:val="0"/>
                <w:numId w:val="14"/>
              </w:numPr>
              <w:rPr>
                <w:u w:val="single"/>
              </w:rPr>
            </w:pPr>
            <w:r>
              <w:t>Make sure all time-keeping devices are synchronized for accurate data recording.</w:t>
            </w:r>
          </w:p>
        </w:tc>
      </w:tr>
    </w:tbl>
    <w:p w:rsidR="00DB1A1C" w:rsidRDefault="00DB1A1C" w:rsidP="00DB1A1C">
      <w:pPr>
        <w:rPr>
          <w:sz w:val="24"/>
        </w:rPr>
      </w:pPr>
      <w:r w:rsidRPr="004725B0">
        <w:rPr>
          <w:sz w:val="24"/>
        </w:rPr>
        <w:t>NOTE:</w:t>
      </w:r>
      <w:r w:rsidRPr="00E905E5">
        <w:rPr>
          <w:sz w:val="24"/>
        </w:rPr>
        <w:t xml:space="preserve"> Consider carefully which operating conditions you use during testing. Permitting limits and modeling limits may be imposed as a result of testing during operating conditions that are not representative of conditions allowed by your permit. For example, if the number of straight trucks received in a 24-hour period is historically higher than that represented by the tested </w:t>
      </w:r>
      <w:r w:rsidR="00B47E1C" w:rsidRPr="00E905E5">
        <w:rPr>
          <w:sz w:val="24"/>
        </w:rPr>
        <w:t>conditions;</w:t>
      </w:r>
      <w:r w:rsidRPr="00E905E5">
        <w:rPr>
          <w:sz w:val="24"/>
        </w:rPr>
        <w:t xml:space="preserve"> you may receive a limit on the allowable number of straight trucks received during a 24-hour period</w:t>
      </w:r>
      <w:r>
        <w:rPr>
          <w:sz w:val="24"/>
        </w:rPr>
        <w:t>.</w:t>
      </w:r>
    </w:p>
    <w:p w:rsidR="004721A8" w:rsidRDefault="004721A8" w:rsidP="00DB1A1C">
      <w:pPr>
        <w:rPr>
          <w:sz w:val="24"/>
        </w:rPr>
      </w:pPr>
    </w:p>
    <w:p w:rsidR="004721A8" w:rsidRDefault="004721A8" w:rsidP="00DB1A1C">
      <w:pPr>
        <w:rPr>
          <w:sz w:val="24"/>
        </w:rPr>
      </w:pPr>
    </w:p>
    <w:p w:rsidR="004721A8" w:rsidRPr="00E905E5" w:rsidRDefault="004721A8" w:rsidP="00DB1A1C">
      <w:pPr>
        <w:rPr>
          <w:sz w:val="24"/>
        </w:rPr>
        <w:sectPr w:rsidR="004721A8" w:rsidRPr="00E905E5" w:rsidSect="00DB1A1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35371" w:rsidRPr="001C76BA" w:rsidRDefault="00E35371">
      <w:pPr>
        <w:rPr>
          <w:sz w:val="24"/>
        </w:rPr>
      </w:pPr>
    </w:p>
    <w:p w:rsidR="00225D7D" w:rsidRPr="00225D7D" w:rsidRDefault="00225D7D" w:rsidP="003F7678"/>
    <w:p w:rsidR="00F051C5" w:rsidRPr="00E905E5" w:rsidRDefault="001C76BA">
      <w:pPr>
        <w:rPr>
          <w:rFonts w:asciiTheme="majorHAnsi" w:hAnsiTheme="majorHAnsi"/>
          <w:sz w:val="24"/>
        </w:rPr>
      </w:pPr>
      <w:r w:rsidRPr="00E905E5">
        <w:rPr>
          <w:rFonts w:asciiTheme="majorHAnsi" w:hAnsiTheme="majorHAnsi"/>
          <w:b/>
          <w:sz w:val="24"/>
        </w:rPr>
        <w:t>Table 2.4:</w:t>
      </w:r>
      <w:r w:rsidRPr="00E905E5">
        <w:rPr>
          <w:rFonts w:asciiTheme="majorHAnsi" w:hAnsiTheme="majorHAnsi"/>
          <w:sz w:val="24"/>
        </w:rPr>
        <w:t xml:space="preserve"> </w:t>
      </w:r>
      <w:r w:rsidR="00F051C5" w:rsidRPr="00E905E5">
        <w:rPr>
          <w:rFonts w:asciiTheme="majorHAnsi" w:hAnsiTheme="majorHAnsi"/>
          <w:sz w:val="24"/>
        </w:rPr>
        <w:t>Quality Assurance / Quality Control</w:t>
      </w:r>
    </w:p>
    <w:p w:rsidR="00225D7D" w:rsidRDefault="00225D7D" w:rsidP="00F3069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7848"/>
      </w:tblGrid>
      <w:tr w:rsidR="00E23304" w:rsidTr="005336E9">
        <w:tc>
          <w:tcPr>
            <w:tcW w:w="3168" w:type="dxa"/>
          </w:tcPr>
          <w:p w:rsidR="00E23304" w:rsidRPr="00AC3D9E" w:rsidRDefault="00E23304" w:rsidP="0077461E">
            <w:pPr>
              <w:rPr>
                <w:b/>
              </w:rPr>
            </w:pPr>
            <w:r w:rsidRPr="00AC3D9E">
              <w:rPr>
                <w:b/>
              </w:rPr>
              <w:t>Subject</w:t>
            </w:r>
          </w:p>
        </w:tc>
        <w:tc>
          <w:tcPr>
            <w:tcW w:w="7848" w:type="dxa"/>
          </w:tcPr>
          <w:p w:rsidR="00E23304" w:rsidRPr="00AC3D9E" w:rsidRDefault="00E23304" w:rsidP="0077461E">
            <w:pPr>
              <w:rPr>
                <w:b/>
              </w:rPr>
            </w:pPr>
            <w:r>
              <w:rPr>
                <w:b/>
              </w:rPr>
              <w:t>Requirements</w:t>
            </w:r>
          </w:p>
        </w:tc>
      </w:tr>
      <w:tr w:rsidR="00E23304" w:rsidTr="005336E9">
        <w:tc>
          <w:tcPr>
            <w:tcW w:w="3168" w:type="dxa"/>
          </w:tcPr>
          <w:p w:rsidR="00E23304" w:rsidRDefault="003A2CF6" w:rsidP="003A2CF6">
            <w:pPr>
              <w:pStyle w:val="ListParagraph"/>
              <w:numPr>
                <w:ilvl w:val="0"/>
                <w:numId w:val="17"/>
              </w:numPr>
            </w:pPr>
            <w:r>
              <w:t xml:space="preserve">Data </w:t>
            </w:r>
            <w:r w:rsidR="00390528">
              <w:t>C</w:t>
            </w:r>
            <w:r>
              <w:t>ollection</w:t>
            </w:r>
          </w:p>
        </w:tc>
        <w:tc>
          <w:tcPr>
            <w:tcW w:w="7848" w:type="dxa"/>
          </w:tcPr>
          <w:p w:rsidR="00F04B42" w:rsidRPr="005336E9" w:rsidRDefault="005336E9" w:rsidP="003A2CF6">
            <w:pPr>
              <w:pStyle w:val="ListParagraph"/>
              <w:numPr>
                <w:ilvl w:val="0"/>
                <w:numId w:val="18"/>
              </w:numPr>
            </w:pPr>
            <w:r w:rsidRPr="005336E9">
              <w:t>O</w:t>
            </w:r>
            <w:r w:rsidR="00F04B42" w:rsidRPr="005336E9">
              <w:t>ne continuous hour sample constitutes one test</w:t>
            </w:r>
            <w:r w:rsidRPr="005336E9">
              <w:t>.</w:t>
            </w:r>
          </w:p>
          <w:p w:rsidR="00E23304" w:rsidRPr="005336E9" w:rsidRDefault="003A2CF6" w:rsidP="003A2CF6">
            <w:pPr>
              <w:pStyle w:val="ListParagraph"/>
              <w:numPr>
                <w:ilvl w:val="0"/>
                <w:numId w:val="18"/>
              </w:numPr>
            </w:pPr>
            <w:r w:rsidRPr="005336E9">
              <w:t xml:space="preserve">Minimum of five tests per </w:t>
            </w:r>
            <w:r w:rsidR="00B67E01">
              <w:t>each identified scenario</w:t>
            </w:r>
            <w:r w:rsidRPr="005336E9">
              <w:t xml:space="preserve"> of </w:t>
            </w:r>
            <w:r w:rsidR="00F04B42" w:rsidRPr="005336E9">
              <w:t xml:space="preserve">operation </w:t>
            </w:r>
            <w:r w:rsidRPr="005336E9">
              <w:t>(e.g.</w:t>
            </w:r>
            <w:r w:rsidR="00EE7A66">
              <w:t>,</w:t>
            </w:r>
            <w:r w:rsidRPr="005336E9">
              <w:t xml:space="preserve"> straight truck, hopper truck, train, etc.)</w:t>
            </w:r>
            <w:r w:rsidR="00C63A4F" w:rsidRPr="005336E9">
              <w:t xml:space="preserve"> and per type of pollutant: PM, PM</w:t>
            </w:r>
            <w:r w:rsidR="00C63A4F" w:rsidRPr="005336E9">
              <w:rPr>
                <w:vertAlign w:val="subscript"/>
              </w:rPr>
              <w:t>10</w:t>
            </w:r>
            <w:r w:rsidR="00C63A4F" w:rsidRPr="005336E9">
              <w:t>, and PM</w:t>
            </w:r>
            <w:r w:rsidR="00C63A4F" w:rsidRPr="005336E9">
              <w:rPr>
                <w:vertAlign w:val="subscript"/>
              </w:rPr>
              <w:t>2.5</w:t>
            </w:r>
            <w:r w:rsidR="00E14AC4" w:rsidRPr="00C13900">
              <w:t>.</w:t>
            </w:r>
          </w:p>
          <w:p w:rsidR="0008177F" w:rsidRPr="005336E9" w:rsidRDefault="0008177F" w:rsidP="003A2CF6">
            <w:pPr>
              <w:pStyle w:val="ListParagraph"/>
              <w:numPr>
                <w:ilvl w:val="0"/>
                <w:numId w:val="18"/>
              </w:numPr>
            </w:pPr>
            <w:r w:rsidRPr="005336E9">
              <w:t>Minimum of five days of data collection (allow additional time for set up, calibration, clean up</w:t>
            </w:r>
            <w:r w:rsidR="002B0560" w:rsidRPr="005336E9">
              <w:t>, and inclement weather</w:t>
            </w:r>
            <w:r w:rsidRPr="005336E9">
              <w:t>)</w:t>
            </w:r>
            <w:r w:rsidR="00A46366" w:rsidRPr="005336E9">
              <w:t xml:space="preserve">. </w:t>
            </w:r>
            <w:r w:rsidR="00A46366" w:rsidRPr="006B66F3">
              <w:rPr>
                <w:u w:val="single"/>
              </w:rPr>
              <w:t xml:space="preserve">Samples from all types of wind speed and direction should be well represented. A sampling matrix provided in Table 3.1 </w:t>
            </w:r>
            <w:r w:rsidR="00C13900">
              <w:rPr>
                <w:u w:val="single"/>
              </w:rPr>
              <w:t>is</w:t>
            </w:r>
            <w:r w:rsidR="00A46366" w:rsidRPr="006B66F3">
              <w:rPr>
                <w:u w:val="single"/>
              </w:rPr>
              <w:t xml:space="preserve"> an example of deliverable data.</w:t>
            </w:r>
            <w:r w:rsidR="00046608" w:rsidRPr="006B66F3">
              <w:rPr>
                <w:u w:val="single"/>
              </w:rPr>
              <w:t xml:space="preserve"> </w:t>
            </w:r>
            <w:r w:rsidR="00C43B21" w:rsidRPr="006B66F3">
              <w:rPr>
                <w:u w:val="single"/>
              </w:rPr>
              <w:t>60 samples will be tak</w:t>
            </w:r>
            <w:r w:rsidR="00C272E0" w:rsidRPr="006B66F3">
              <w:rPr>
                <w:u w:val="single"/>
              </w:rPr>
              <w:t>en with the ideal case being that</w:t>
            </w:r>
            <w:r w:rsidR="00C43B21" w:rsidRPr="006B66F3">
              <w:rPr>
                <w:u w:val="single"/>
              </w:rPr>
              <w:t xml:space="preserve"> three samples would fall into each cell. This would be </w:t>
            </w:r>
            <w:r w:rsidR="00C272E0" w:rsidRPr="006B66F3">
              <w:rPr>
                <w:u w:val="single"/>
              </w:rPr>
              <w:t>considered</w:t>
            </w:r>
            <w:r w:rsidR="00C43B21" w:rsidRPr="006B66F3">
              <w:rPr>
                <w:u w:val="single"/>
              </w:rPr>
              <w:t xml:space="preserve"> as </w:t>
            </w:r>
            <w:r w:rsidR="00032C8C">
              <w:rPr>
                <w:u w:val="single"/>
              </w:rPr>
              <w:t xml:space="preserve">sufficient </w:t>
            </w:r>
            <w:r w:rsidR="00C43B21" w:rsidRPr="006B66F3">
              <w:rPr>
                <w:u w:val="single"/>
              </w:rPr>
              <w:t>data</w:t>
            </w:r>
            <w:r w:rsidR="00032C8C">
              <w:rPr>
                <w:u w:val="single"/>
              </w:rPr>
              <w:t xml:space="preserve"> points</w:t>
            </w:r>
            <w:r w:rsidR="00C43B21" w:rsidRPr="006B66F3">
              <w:rPr>
                <w:u w:val="single"/>
              </w:rPr>
              <w:t>. If this is not the case alterations to the final emission factor are up to the discretion of the MPCA.</w:t>
            </w:r>
          </w:p>
          <w:p w:rsidR="003A2CF6" w:rsidRPr="005336E9" w:rsidRDefault="00B548AE" w:rsidP="003A2CF6">
            <w:pPr>
              <w:pStyle w:val="ListParagraph"/>
              <w:numPr>
                <w:ilvl w:val="0"/>
                <w:numId w:val="18"/>
              </w:numPr>
            </w:pPr>
            <w:r w:rsidRPr="005336E9">
              <w:t>Identify sampling regime that represents normal operating conditions</w:t>
            </w:r>
            <w:r w:rsidR="00520301" w:rsidRPr="005336E9">
              <w:t xml:space="preserve"> (</w:t>
            </w:r>
            <w:r w:rsidR="00EE7A66">
              <w:t>e.g.,</w:t>
            </w:r>
            <w:r w:rsidR="00520301" w:rsidRPr="005336E9">
              <w:t xml:space="preserve"> number of trucks per hour, types of trucks).</w:t>
            </w:r>
          </w:p>
          <w:p w:rsidR="00390528" w:rsidRPr="005336E9" w:rsidRDefault="00390528" w:rsidP="003A2CF6">
            <w:pPr>
              <w:pStyle w:val="ListParagraph"/>
              <w:numPr>
                <w:ilvl w:val="0"/>
                <w:numId w:val="18"/>
              </w:numPr>
            </w:pPr>
            <w:r>
              <w:t>Identify sampling regime that represents worst-case operating conditions.</w:t>
            </w:r>
          </w:p>
          <w:p w:rsidR="00E3149A" w:rsidRPr="005336E9" w:rsidRDefault="00E3149A" w:rsidP="003A2CF6">
            <w:pPr>
              <w:pStyle w:val="ListParagraph"/>
              <w:numPr>
                <w:ilvl w:val="0"/>
                <w:numId w:val="18"/>
              </w:numPr>
            </w:pPr>
            <w:r w:rsidRPr="005336E9">
              <w:t>Identify background correction method (e.g.</w:t>
            </w:r>
            <w:r w:rsidR="00EE7A66">
              <w:t>,</w:t>
            </w:r>
            <w:r w:rsidRPr="005336E9">
              <w:t xml:space="preserve"> Blank sample)</w:t>
            </w:r>
            <w:r w:rsidR="00C13900">
              <w:t>.</w:t>
            </w:r>
          </w:p>
          <w:p w:rsidR="00BB5240" w:rsidRPr="006B66F3" w:rsidRDefault="001D6459" w:rsidP="003A2CF6">
            <w:pPr>
              <w:pStyle w:val="ListParagraph"/>
              <w:numPr>
                <w:ilvl w:val="0"/>
                <w:numId w:val="18"/>
              </w:numPr>
              <w:rPr>
                <w:u w:val="single"/>
              </w:rPr>
            </w:pPr>
            <w:r w:rsidRPr="006B66F3">
              <w:rPr>
                <w:u w:val="single"/>
              </w:rPr>
              <w:t>Report specifications of drop pit and baghouse</w:t>
            </w:r>
            <w:r w:rsidR="00B67E01">
              <w:rPr>
                <w:u w:val="single"/>
              </w:rPr>
              <w:t xml:space="preserve"> (e.g., dimensions, fan speed, air flow)</w:t>
            </w:r>
            <w:r w:rsidR="00E14AC4" w:rsidRPr="006B66F3">
              <w:rPr>
                <w:u w:val="single"/>
              </w:rPr>
              <w:t>.</w:t>
            </w:r>
          </w:p>
          <w:p w:rsidR="001D6459" w:rsidRPr="005336E9" w:rsidRDefault="00BB5240" w:rsidP="005E0BF3">
            <w:pPr>
              <w:pStyle w:val="ListParagraph"/>
              <w:numPr>
                <w:ilvl w:val="0"/>
                <w:numId w:val="18"/>
              </w:numPr>
            </w:pPr>
            <w:r w:rsidRPr="006B66F3">
              <w:rPr>
                <w:u w:val="single"/>
              </w:rPr>
              <w:t xml:space="preserve">Report orientation </w:t>
            </w:r>
            <w:r w:rsidR="00EE2FE2" w:rsidRPr="006B66F3">
              <w:rPr>
                <w:u w:val="single"/>
              </w:rPr>
              <w:t xml:space="preserve">and opening size </w:t>
            </w:r>
            <w:r w:rsidRPr="006B66F3">
              <w:rPr>
                <w:u w:val="single"/>
              </w:rPr>
              <w:t>of doors</w:t>
            </w:r>
            <w:r w:rsidR="005E0BF3" w:rsidRPr="006B66F3">
              <w:rPr>
                <w:u w:val="single"/>
              </w:rPr>
              <w:t xml:space="preserve"> (Ratio of opening area to enclosure volume)</w:t>
            </w:r>
            <w:r w:rsidR="00C13900">
              <w:rPr>
                <w:u w:val="single"/>
              </w:rPr>
              <w:t>.</w:t>
            </w:r>
          </w:p>
        </w:tc>
      </w:tr>
      <w:tr w:rsidR="00E23304" w:rsidTr="005336E9">
        <w:tc>
          <w:tcPr>
            <w:tcW w:w="3168" w:type="dxa"/>
          </w:tcPr>
          <w:p w:rsidR="00E23304" w:rsidRDefault="003A2CF6" w:rsidP="003A2CF6">
            <w:pPr>
              <w:pStyle w:val="ListParagraph"/>
              <w:numPr>
                <w:ilvl w:val="0"/>
                <w:numId w:val="17"/>
              </w:numPr>
            </w:pPr>
            <w:r>
              <w:t xml:space="preserve">Data </w:t>
            </w:r>
            <w:r w:rsidR="00390528">
              <w:t>A</w:t>
            </w:r>
            <w:r>
              <w:t xml:space="preserve">nalysis and </w:t>
            </w:r>
            <w:r w:rsidR="00390528">
              <w:t>R</w:t>
            </w:r>
            <w:r>
              <w:t>eduction</w:t>
            </w:r>
          </w:p>
        </w:tc>
        <w:tc>
          <w:tcPr>
            <w:tcW w:w="7848" w:type="dxa"/>
          </w:tcPr>
          <w:p w:rsidR="00E23304" w:rsidRPr="005336E9" w:rsidRDefault="00E3149A" w:rsidP="00DE43E0">
            <w:pPr>
              <w:pStyle w:val="ListParagraph"/>
              <w:numPr>
                <w:ilvl w:val="0"/>
                <w:numId w:val="18"/>
              </w:numPr>
            </w:pPr>
            <w:r w:rsidRPr="005336E9">
              <w:t xml:space="preserve">Identify data quality method (Proof of good </w:t>
            </w:r>
            <w:r w:rsidR="00032C8C">
              <w:t xml:space="preserve">quality </w:t>
            </w:r>
            <w:r w:rsidRPr="005336E9">
              <w:t>data)</w:t>
            </w:r>
            <w:r w:rsidR="00C13900">
              <w:t>.</w:t>
            </w:r>
          </w:p>
          <w:p w:rsidR="00E3149A" w:rsidRPr="005336E9" w:rsidRDefault="00E3149A" w:rsidP="00DE43E0">
            <w:pPr>
              <w:pStyle w:val="ListParagraph"/>
              <w:numPr>
                <w:ilvl w:val="0"/>
                <w:numId w:val="18"/>
              </w:numPr>
            </w:pPr>
            <w:r w:rsidRPr="005336E9">
              <w:t>Identify subsequent data collection plan if data quality is poor</w:t>
            </w:r>
            <w:r w:rsidR="00E14AC4" w:rsidRPr="005336E9">
              <w:t>.</w:t>
            </w:r>
          </w:p>
          <w:p w:rsidR="00E3149A" w:rsidRPr="005336E9" w:rsidRDefault="00E3149A" w:rsidP="00E3149A">
            <w:pPr>
              <w:pStyle w:val="ListParagraph"/>
              <w:numPr>
                <w:ilvl w:val="0"/>
                <w:numId w:val="18"/>
              </w:numPr>
            </w:pPr>
            <w:r w:rsidRPr="005336E9">
              <w:t>Identify final reduced data output (</w:t>
            </w:r>
            <w:r w:rsidRPr="006B66F3">
              <w:rPr>
                <w:u w:val="single"/>
              </w:rPr>
              <w:t>emission factor based on wind speed and wind direction for each scenario</w:t>
            </w:r>
            <w:r w:rsidRPr="005336E9">
              <w:t>)</w:t>
            </w:r>
            <w:r w:rsidR="00C13900">
              <w:t>.</w:t>
            </w:r>
          </w:p>
        </w:tc>
      </w:tr>
    </w:tbl>
    <w:p w:rsidR="004F57E2" w:rsidRDefault="004F57E2" w:rsidP="004F57E2">
      <w:pPr>
        <w:pStyle w:val="Heading2"/>
        <w:ind w:left="720"/>
        <w:rPr>
          <w:color w:val="365F91" w:themeColor="accent1" w:themeShade="BF"/>
        </w:rPr>
      </w:pPr>
    </w:p>
    <w:p w:rsidR="004F57E2" w:rsidRPr="004F57E2" w:rsidRDefault="004F57E2" w:rsidP="004F57E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</w:rPr>
        <w:br w:type="page"/>
      </w:r>
    </w:p>
    <w:p w:rsidR="00B82345" w:rsidRPr="00E905E5" w:rsidRDefault="00A46366" w:rsidP="00B82345">
      <w:pPr>
        <w:pStyle w:val="Heading2"/>
        <w:numPr>
          <w:ilvl w:val="0"/>
          <w:numId w:val="21"/>
        </w:numPr>
        <w:rPr>
          <w:color w:val="365F91" w:themeColor="accent1" w:themeShade="BF"/>
        </w:rPr>
      </w:pPr>
      <w:r w:rsidRPr="00E905E5">
        <w:rPr>
          <w:color w:val="365F91" w:themeColor="accent1" w:themeShade="BF"/>
        </w:rPr>
        <w:lastRenderedPageBreak/>
        <w:t>Protocols and Deliverables</w:t>
      </w:r>
    </w:p>
    <w:p w:rsidR="000B1AA6" w:rsidRPr="000B1AA6" w:rsidRDefault="000B1AA6" w:rsidP="000B1AA6"/>
    <w:p w:rsidR="00225D7D" w:rsidRDefault="005E0BF3" w:rsidP="00F1621E">
      <w:r>
        <w:t xml:space="preserve">This document </w:t>
      </w:r>
      <w:r w:rsidR="00390528">
        <w:t xml:space="preserve">contains an overview of minimum requirements needed to prepare </w:t>
      </w:r>
      <w:r>
        <w:t>a complete protocol</w:t>
      </w:r>
      <w:r w:rsidR="00031BBB">
        <w:t xml:space="preserve"> for the purpose of collecting data for both air permitting and modeling</w:t>
      </w:r>
      <w:r>
        <w:t xml:space="preserve">. </w:t>
      </w:r>
      <w:r w:rsidR="00031BBB">
        <w:t>If a proposed protocol is for determining permitting factors only, modeling requirements including modeling files as deliverables may be overlooked.</w:t>
      </w:r>
      <w:r>
        <w:t xml:space="preserve"> This document is not meant to be an outline or an exhaust</w:t>
      </w:r>
      <w:r w:rsidR="00390528">
        <w:t>ive</w:t>
      </w:r>
      <w:r>
        <w:t xml:space="preserve"> list of protocol parameters. Submitted protocols should be complete and adequate for the specific source. </w:t>
      </w:r>
    </w:p>
    <w:p w:rsidR="00B82345" w:rsidRDefault="00B82345" w:rsidP="00F1621E"/>
    <w:p w:rsidR="00390528" w:rsidRDefault="00A46366" w:rsidP="00F1621E">
      <w:r>
        <w:t>Deliverables shall include</w:t>
      </w:r>
      <w:r w:rsidR="00390528">
        <w:t>:</w:t>
      </w:r>
    </w:p>
    <w:p w:rsidR="00DB51E9" w:rsidRDefault="00390528" w:rsidP="00DB51E9">
      <w:pPr>
        <w:pStyle w:val="ListParagraph"/>
        <w:numPr>
          <w:ilvl w:val="0"/>
          <w:numId w:val="22"/>
        </w:numPr>
      </w:pPr>
      <w:r>
        <w:t>A</w:t>
      </w:r>
      <w:r w:rsidR="00A46366">
        <w:t xml:space="preserve"> hardcopy report. </w:t>
      </w:r>
      <w:r w:rsidR="006B66F3">
        <w:t xml:space="preserve">All underlined guidelines should be included in the final report. </w:t>
      </w:r>
      <w:r w:rsidR="00A46366">
        <w:t xml:space="preserve">The hardcopy report shall discuss the above subject requirements in sufficient detail such as </w:t>
      </w:r>
      <w:r>
        <w:t xml:space="preserve">that provided in </w:t>
      </w:r>
      <w:r w:rsidR="00A46366">
        <w:t xml:space="preserve">the Valero-Welcome study. </w:t>
      </w:r>
    </w:p>
    <w:p w:rsidR="00B82345" w:rsidRDefault="00390528" w:rsidP="00DB51E9">
      <w:pPr>
        <w:pStyle w:val="ListParagraph"/>
        <w:numPr>
          <w:ilvl w:val="0"/>
          <w:numId w:val="22"/>
        </w:numPr>
      </w:pPr>
      <w:r>
        <w:t>E</w:t>
      </w:r>
      <w:r w:rsidR="00A46366">
        <w:t xml:space="preserve">lectronic data files </w:t>
      </w:r>
      <w:r>
        <w:t>which</w:t>
      </w:r>
      <w:r w:rsidR="00A46366">
        <w:t xml:space="preserve"> include hour-by-hour data collected, and if possible, data visualizations similar to that of Valero-Welcome study. The electronic data files shall also include ready-to-run modeling files (e.g., AERMOD EMISFACT scalars; AERMOD HOURMIS files).</w:t>
      </w:r>
      <w:r w:rsidR="00032C8C">
        <w:t xml:space="preserve"> </w:t>
      </w:r>
      <w:r w:rsidR="00C86D07">
        <w:t>If you are not going to be using the data for modeling purposes now, or in the future, you may exclude the ready-to-run modeling files from your submittal.</w:t>
      </w:r>
    </w:p>
    <w:p w:rsidR="00CB5AA6" w:rsidRDefault="00CB5AA6" w:rsidP="00DB51E9">
      <w:pPr>
        <w:pStyle w:val="ListParagraph"/>
        <w:numPr>
          <w:ilvl w:val="0"/>
          <w:numId w:val="22"/>
        </w:numPr>
      </w:pPr>
      <w:r>
        <w:t>Proposed capture efficiency to be used in permitting calculations based upon the results of the study. Depending upon the facility, there may be a different efficiency proposed for use in hourly calculations, than that proposed for annual calculations.</w:t>
      </w:r>
    </w:p>
    <w:p w:rsidR="00B82345" w:rsidRDefault="00B82345" w:rsidP="00F1621E"/>
    <w:p w:rsidR="00DB1A1C" w:rsidRDefault="00DB1A1C" w:rsidP="00F1621E">
      <w:r>
        <w:t xml:space="preserve">A </w:t>
      </w:r>
      <w:r w:rsidR="003F7678">
        <w:t xml:space="preserve">digital </w:t>
      </w:r>
      <w:r>
        <w:t>copy of the Valero-Welcome report can be sent upon request.</w:t>
      </w:r>
    </w:p>
    <w:p w:rsidR="00DB1A1C" w:rsidRDefault="00DB1A1C" w:rsidP="00F1621E"/>
    <w:p w:rsidR="00A46366" w:rsidRPr="00FA73FA" w:rsidRDefault="00A46366" w:rsidP="00A46366">
      <w:pPr>
        <w:rPr>
          <w:rFonts w:asciiTheme="majorHAnsi" w:hAnsiTheme="majorHAnsi"/>
          <w:b/>
          <w:sz w:val="24"/>
        </w:rPr>
      </w:pPr>
      <w:r w:rsidRPr="00FA73FA">
        <w:rPr>
          <w:rFonts w:asciiTheme="majorHAnsi" w:hAnsiTheme="majorHAnsi"/>
          <w:b/>
          <w:sz w:val="24"/>
        </w:rPr>
        <w:t xml:space="preserve">Table 3.1: </w:t>
      </w:r>
      <w:r w:rsidR="002B1669" w:rsidRPr="00FA73FA">
        <w:rPr>
          <w:rFonts w:asciiTheme="majorHAnsi" w:hAnsiTheme="majorHAnsi"/>
          <w:sz w:val="24"/>
        </w:rPr>
        <w:t xml:space="preserve">Emission </w:t>
      </w:r>
      <w:r w:rsidR="00BA5BD4" w:rsidRPr="00FA73FA">
        <w:rPr>
          <w:rFonts w:asciiTheme="majorHAnsi" w:hAnsiTheme="majorHAnsi"/>
          <w:sz w:val="24"/>
        </w:rPr>
        <w:t>rates and emission f</w:t>
      </w:r>
      <w:r w:rsidR="005069A6" w:rsidRPr="00FA73FA">
        <w:rPr>
          <w:rFonts w:asciiTheme="majorHAnsi" w:hAnsiTheme="majorHAnsi"/>
          <w:sz w:val="24"/>
        </w:rPr>
        <w:t>actors</w:t>
      </w:r>
      <w:r w:rsidR="002B1669" w:rsidRPr="00FA73FA">
        <w:rPr>
          <w:rFonts w:asciiTheme="majorHAnsi" w:hAnsiTheme="majorHAnsi"/>
          <w:sz w:val="24"/>
        </w:rPr>
        <w:t xml:space="preserve"> based on wind speed and direction.</w:t>
      </w:r>
    </w:p>
    <w:p w:rsidR="0093289A" w:rsidRDefault="0093289A" w:rsidP="00A46366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  <w:gridCol w:w="2204"/>
      </w:tblGrid>
      <w:tr w:rsidR="00A46366" w:rsidTr="00A46366">
        <w:tc>
          <w:tcPr>
            <w:tcW w:w="2203" w:type="dxa"/>
          </w:tcPr>
          <w:p w:rsidR="00A46366" w:rsidRDefault="00A46366" w:rsidP="00A46366">
            <w:pPr>
              <w:rPr>
                <w:sz w:val="24"/>
              </w:rPr>
            </w:pPr>
          </w:p>
        </w:tc>
        <w:tc>
          <w:tcPr>
            <w:tcW w:w="2203" w:type="dxa"/>
          </w:tcPr>
          <w:p w:rsidR="00A46366" w:rsidRDefault="0093289A" w:rsidP="00A46366">
            <w:pPr>
              <w:rPr>
                <w:sz w:val="24"/>
              </w:rPr>
            </w:pPr>
            <w:r>
              <w:rPr>
                <w:sz w:val="24"/>
              </w:rPr>
              <w:t>North</w:t>
            </w:r>
            <w:r w:rsidR="00C43B21">
              <w:rPr>
                <w:sz w:val="24"/>
              </w:rPr>
              <w:t xml:space="preserve"> 315-45</w:t>
            </w:r>
            <w:r w:rsidR="00D92D76">
              <w:rPr>
                <w:sz w:val="24"/>
              </w:rPr>
              <w:t>°</w:t>
            </w:r>
          </w:p>
        </w:tc>
        <w:tc>
          <w:tcPr>
            <w:tcW w:w="2203" w:type="dxa"/>
          </w:tcPr>
          <w:p w:rsidR="00A46366" w:rsidRDefault="0093289A" w:rsidP="00A46366">
            <w:pPr>
              <w:rPr>
                <w:sz w:val="24"/>
              </w:rPr>
            </w:pPr>
            <w:r>
              <w:rPr>
                <w:sz w:val="24"/>
              </w:rPr>
              <w:t>East</w:t>
            </w:r>
            <w:r w:rsidR="00C43B21">
              <w:rPr>
                <w:sz w:val="24"/>
              </w:rPr>
              <w:t xml:space="preserve"> 45-135</w:t>
            </w:r>
            <w:r w:rsidR="00D92D76">
              <w:rPr>
                <w:sz w:val="24"/>
              </w:rPr>
              <w:t>°</w:t>
            </w:r>
          </w:p>
        </w:tc>
        <w:tc>
          <w:tcPr>
            <w:tcW w:w="2203" w:type="dxa"/>
          </w:tcPr>
          <w:p w:rsidR="00A46366" w:rsidRDefault="0093289A" w:rsidP="00A46366">
            <w:pPr>
              <w:rPr>
                <w:sz w:val="24"/>
              </w:rPr>
            </w:pPr>
            <w:r>
              <w:rPr>
                <w:sz w:val="24"/>
              </w:rPr>
              <w:t xml:space="preserve">South </w:t>
            </w:r>
            <w:r w:rsidR="00C43B21">
              <w:rPr>
                <w:sz w:val="24"/>
              </w:rPr>
              <w:t>135-225</w:t>
            </w:r>
            <w:r w:rsidR="00D92D76">
              <w:rPr>
                <w:sz w:val="24"/>
              </w:rPr>
              <w:t>°</w:t>
            </w:r>
          </w:p>
        </w:tc>
        <w:tc>
          <w:tcPr>
            <w:tcW w:w="2204" w:type="dxa"/>
          </w:tcPr>
          <w:p w:rsidR="00A46366" w:rsidRDefault="0093289A" w:rsidP="00A46366">
            <w:pPr>
              <w:rPr>
                <w:sz w:val="24"/>
              </w:rPr>
            </w:pPr>
            <w:r>
              <w:rPr>
                <w:sz w:val="24"/>
              </w:rPr>
              <w:t>West</w:t>
            </w:r>
            <w:r w:rsidR="00C43B21">
              <w:rPr>
                <w:sz w:val="24"/>
              </w:rPr>
              <w:t xml:space="preserve"> 225-315</w:t>
            </w:r>
            <w:r w:rsidR="00D92D76">
              <w:rPr>
                <w:sz w:val="24"/>
              </w:rPr>
              <w:t>°</w:t>
            </w:r>
          </w:p>
        </w:tc>
      </w:tr>
      <w:tr w:rsidR="00A46366" w:rsidTr="00A46366">
        <w:tc>
          <w:tcPr>
            <w:tcW w:w="2203" w:type="dxa"/>
          </w:tcPr>
          <w:p w:rsidR="00A46366" w:rsidRDefault="0093289A" w:rsidP="005069A6">
            <w:pPr>
              <w:rPr>
                <w:sz w:val="24"/>
              </w:rPr>
            </w:pPr>
            <w:r>
              <w:rPr>
                <w:sz w:val="24"/>
              </w:rPr>
              <w:t>0-1</w:t>
            </w:r>
            <w:r w:rsidR="005069A6">
              <w:rPr>
                <w:sz w:val="24"/>
              </w:rPr>
              <w:t>0</w:t>
            </w:r>
            <w:r w:rsidR="00C43B21">
              <w:rPr>
                <w:sz w:val="24"/>
              </w:rPr>
              <w:t xml:space="preserve"> mph</w:t>
            </w:r>
          </w:p>
        </w:tc>
        <w:tc>
          <w:tcPr>
            <w:tcW w:w="2203" w:type="dxa"/>
          </w:tcPr>
          <w:p w:rsidR="00A46366" w:rsidRDefault="00A46366" w:rsidP="00A46366">
            <w:pPr>
              <w:rPr>
                <w:sz w:val="24"/>
              </w:rPr>
            </w:pPr>
          </w:p>
        </w:tc>
        <w:tc>
          <w:tcPr>
            <w:tcW w:w="2203" w:type="dxa"/>
          </w:tcPr>
          <w:p w:rsidR="00A46366" w:rsidRDefault="00A46366" w:rsidP="00A46366">
            <w:pPr>
              <w:rPr>
                <w:sz w:val="24"/>
              </w:rPr>
            </w:pPr>
          </w:p>
        </w:tc>
        <w:tc>
          <w:tcPr>
            <w:tcW w:w="2203" w:type="dxa"/>
          </w:tcPr>
          <w:p w:rsidR="00A46366" w:rsidRDefault="00A46366" w:rsidP="00A46366">
            <w:pPr>
              <w:rPr>
                <w:sz w:val="24"/>
              </w:rPr>
            </w:pPr>
          </w:p>
        </w:tc>
        <w:tc>
          <w:tcPr>
            <w:tcW w:w="2204" w:type="dxa"/>
          </w:tcPr>
          <w:p w:rsidR="00A46366" w:rsidRDefault="00A46366" w:rsidP="00A46366">
            <w:pPr>
              <w:rPr>
                <w:sz w:val="24"/>
              </w:rPr>
            </w:pPr>
          </w:p>
        </w:tc>
      </w:tr>
      <w:tr w:rsidR="00A46366" w:rsidTr="00A46366">
        <w:tc>
          <w:tcPr>
            <w:tcW w:w="2203" w:type="dxa"/>
          </w:tcPr>
          <w:p w:rsidR="00A46366" w:rsidRDefault="005069A6" w:rsidP="000525EB">
            <w:pPr>
              <w:rPr>
                <w:sz w:val="24"/>
              </w:rPr>
            </w:pPr>
            <w:r>
              <w:rPr>
                <w:sz w:val="24"/>
              </w:rPr>
              <w:t>10-20</w:t>
            </w:r>
            <w:r w:rsidR="00C43B21">
              <w:rPr>
                <w:sz w:val="24"/>
              </w:rPr>
              <w:t xml:space="preserve"> mph</w:t>
            </w:r>
          </w:p>
        </w:tc>
        <w:tc>
          <w:tcPr>
            <w:tcW w:w="2203" w:type="dxa"/>
          </w:tcPr>
          <w:p w:rsidR="00A46366" w:rsidRDefault="00A46366" w:rsidP="00A46366">
            <w:pPr>
              <w:rPr>
                <w:sz w:val="24"/>
              </w:rPr>
            </w:pPr>
          </w:p>
        </w:tc>
        <w:tc>
          <w:tcPr>
            <w:tcW w:w="2203" w:type="dxa"/>
          </w:tcPr>
          <w:p w:rsidR="00A46366" w:rsidRDefault="00A46366" w:rsidP="00A46366">
            <w:pPr>
              <w:rPr>
                <w:sz w:val="24"/>
              </w:rPr>
            </w:pPr>
          </w:p>
        </w:tc>
        <w:tc>
          <w:tcPr>
            <w:tcW w:w="2203" w:type="dxa"/>
          </w:tcPr>
          <w:p w:rsidR="00A46366" w:rsidRDefault="00A46366" w:rsidP="00A46366">
            <w:pPr>
              <w:rPr>
                <w:sz w:val="24"/>
              </w:rPr>
            </w:pPr>
          </w:p>
        </w:tc>
        <w:tc>
          <w:tcPr>
            <w:tcW w:w="2204" w:type="dxa"/>
          </w:tcPr>
          <w:p w:rsidR="00A46366" w:rsidRDefault="00A46366" w:rsidP="00A46366">
            <w:pPr>
              <w:rPr>
                <w:sz w:val="24"/>
              </w:rPr>
            </w:pPr>
          </w:p>
        </w:tc>
      </w:tr>
      <w:tr w:rsidR="00A46366" w:rsidTr="00A46366">
        <w:tc>
          <w:tcPr>
            <w:tcW w:w="2203" w:type="dxa"/>
          </w:tcPr>
          <w:p w:rsidR="00A46366" w:rsidRDefault="005069A6" w:rsidP="00A46366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93289A">
              <w:rPr>
                <w:sz w:val="24"/>
              </w:rPr>
              <w:t>0&lt;</w:t>
            </w:r>
            <w:r w:rsidR="00C43B21">
              <w:rPr>
                <w:sz w:val="24"/>
              </w:rPr>
              <w:t xml:space="preserve"> mph</w:t>
            </w:r>
          </w:p>
        </w:tc>
        <w:tc>
          <w:tcPr>
            <w:tcW w:w="2203" w:type="dxa"/>
          </w:tcPr>
          <w:p w:rsidR="00A46366" w:rsidRDefault="00A46366" w:rsidP="00A46366">
            <w:pPr>
              <w:rPr>
                <w:sz w:val="24"/>
              </w:rPr>
            </w:pPr>
          </w:p>
        </w:tc>
        <w:tc>
          <w:tcPr>
            <w:tcW w:w="2203" w:type="dxa"/>
          </w:tcPr>
          <w:p w:rsidR="00A46366" w:rsidRDefault="00A46366" w:rsidP="00A46366">
            <w:pPr>
              <w:rPr>
                <w:sz w:val="24"/>
              </w:rPr>
            </w:pPr>
          </w:p>
        </w:tc>
        <w:tc>
          <w:tcPr>
            <w:tcW w:w="2203" w:type="dxa"/>
          </w:tcPr>
          <w:p w:rsidR="00A46366" w:rsidRDefault="00A46366" w:rsidP="00A46366">
            <w:pPr>
              <w:rPr>
                <w:sz w:val="24"/>
              </w:rPr>
            </w:pPr>
          </w:p>
        </w:tc>
        <w:tc>
          <w:tcPr>
            <w:tcW w:w="2204" w:type="dxa"/>
          </w:tcPr>
          <w:p w:rsidR="00A46366" w:rsidRDefault="00A46366" w:rsidP="00A46366">
            <w:pPr>
              <w:rPr>
                <w:sz w:val="24"/>
              </w:rPr>
            </w:pPr>
          </w:p>
        </w:tc>
      </w:tr>
    </w:tbl>
    <w:p w:rsidR="00A46366" w:rsidRPr="00225D7D" w:rsidRDefault="00A46366" w:rsidP="0044556C"/>
    <w:sectPr w:rsidR="00A46366" w:rsidRPr="00225D7D" w:rsidSect="007952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596" w:rsidRDefault="00634596" w:rsidP="00667717">
      <w:r>
        <w:separator/>
      </w:r>
    </w:p>
  </w:endnote>
  <w:endnote w:type="continuationSeparator" w:id="0">
    <w:p w:rsidR="00634596" w:rsidRDefault="00634596" w:rsidP="00667717">
      <w:r>
        <w:continuationSeparator/>
      </w:r>
    </w:p>
  </w:endnote>
  <w:endnote w:type="continuationNotice" w:id="1">
    <w:p w:rsidR="00634596" w:rsidRDefault="006345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52676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7356" w:rsidRDefault="00BB73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3A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7356" w:rsidRDefault="00BB73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596" w:rsidRDefault="00634596" w:rsidP="00667717">
      <w:r>
        <w:separator/>
      </w:r>
    </w:p>
  </w:footnote>
  <w:footnote w:type="continuationSeparator" w:id="0">
    <w:p w:rsidR="00634596" w:rsidRDefault="00634596" w:rsidP="00667717">
      <w:r>
        <w:continuationSeparator/>
      </w:r>
    </w:p>
  </w:footnote>
  <w:footnote w:type="continuationNotice" w:id="1">
    <w:p w:rsidR="00634596" w:rsidRDefault="0063459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717" w:rsidRDefault="006677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554A"/>
    <w:multiLevelType w:val="hybridMultilevel"/>
    <w:tmpl w:val="7FE4E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43BBF"/>
    <w:multiLevelType w:val="hybridMultilevel"/>
    <w:tmpl w:val="B0DC9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37362"/>
    <w:multiLevelType w:val="hybridMultilevel"/>
    <w:tmpl w:val="FE7A3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A157F"/>
    <w:multiLevelType w:val="hybridMultilevel"/>
    <w:tmpl w:val="C2049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4434F"/>
    <w:multiLevelType w:val="hybridMultilevel"/>
    <w:tmpl w:val="62CC8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A0A4C"/>
    <w:multiLevelType w:val="hybridMultilevel"/>
    <w:tmpl w:val="488EDA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57806"/>
    <w:multiLevelType w:val="hybridMultilevel"/>
    <w:tmpl w:val="8BF84DF0"/>
    <w:lvl w:ilvl="0" w:tplc="379CE5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171EB6"/>
    <w:multiLevelType w:val="hybridMultilevel"/>
    <w:tmpl w:val="D3FE7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17FA8"/>
    <w:multiLevelType w:val="hybridMultilevel"/>
    <w:tmpl w:val="CF30E4DA"/>
    <w:lvl w:ilvl="0" w:tplc="379CE5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B628AF"/>
    <w:multiLevelType w:val="hybridMultilevel"/>
    <w:tmpl w:val="1B2AA01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37615475"/>
    <w:multiLevelType w:val="hybridMultilevel"/>
    <w:tmpl w:val="8260413E"/>
    <w:lvl w:ilvl="0" w:tplc="379CE52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B50063"/>
    <w:multiLevelType w:val="hybridMultilevel"/>
    <w:tmpl w:val="A38A93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F7341"/>
    <w:multiLevelType w:val="hybridMultilevel"/>
    <w:tmpl w:val="83D62B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A815C9"/>
    <w:multiLevelType w:val="hybridMultilevel"/>
    <w:tmpl w:val="FA6EE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E047D9"/>
    <w:multiLevelType w:val="hybridMultilevel"/>
    <w:tmpl w:val="8CC86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4F1D54"/>
    <w:multiLevelType w:val="hybridMultilevel"/>
    <w:tmpl w:val="3BBCE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DF5B6C"/>
    <w:multiLevelType w:val="hybridMultilevel"/>
    <w:tmpl w:val="1CBCD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99040F"/>
    <w:multiLevelType w:val="hybridMultilevel"/>
    <w:tmpl w:val="B47C7F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BF7983"/>
    <w:multiLevelType w:val="hybridMultilevel"/>
    <w:tmpl w:val="AF480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310649"/>
    <w:multiLevelType w:val="hybridMultilevel"/>
    <w:tmpl w:val="A1CA2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74514F"/>
    <w:multiLevelType w:val="hybridMultilevel"/>
    <w:tmpl w:val="2E32A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72744F"/>
    <w:multiLevelType w:val="hybridMultilevel"/>
    <w:tmpl w:val="05E45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6"/>
  </w:num>
  <w:num w:numId="6">
    <w:abstractNumId w:val="18"/>
  </w:num>
  <w:num w:numId="7">
    <w:abstractNumId w:val="19"/>
  </w:num>
  <w:num w:numId="8">
    <w:abstractNumId w:val="12"/>
  </w:num>
  <w:num w:numId="9">
    <w:abstractNumId w:val="17"/>
  </w:num>
  <w:num w:numId="10">
    <w:abstractNumId w:val="4"/>
  </w:num>
  <w:num w:numId="11">
    <w:abstractNumId w:val="20"/>
  </w:num>
  <w:num w:numId="12">
    <w:abstractNumId w:val="7"/>
  </w:num>
  <w:num w:numId="13">
    <w:abstractNumId w:val="11"/>
  </w:num>
  <w:num w:numId="14">
    <w:abstractNumId w:val="15"/>
  </w:num>
  <w:num w:numId="15">
    <w:abstractNumId w:val="0"/>
  </w:num>
  <w:num w:numId="16">
    <w:abstractNumId w:val="13"/>
  </w:num>
  <w:num w:numId="17">
    <w:abstractNumId w:val="5"/>
  </w:num>
  <w:num w:numId="18">
    <w:abstractNumId w:val="21"/>
  </w:num>
  <w:num w:numId="19">
    <w:abstractNumId w:val="1"/>
  </w:num>
  <w:num w:numId="20">
    <w:abstractNumId w:val="2"/>
  </w:num>
  <w:num w:numId="21">
    <w:abstractNumId w:val="14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10D"/>
    <w:rsid w:val="00031BBB"/>
    <w:rsid w:val="00032C8C"/>
    <w:rsid w:val="00044A8E"/>
    <w:rsid w:val="00045744"/>
    <w:rsid w:val="00046608"/>
    <w:rsid w:val="000525EB"/>
    <w:rsid w:val="0008177F"/>
    <w:rsid w:val="000B1AA6"/>
    <w:rsid w:val="00103B55"/>
    <w:rsid w:val="0015707D"/>
    <w:rsid w:val="00177707"/>
    <w:rsid w:val="001868B1"/>
    <w:rsid w:val="001C76BA"/>
    <w:rsid w:val="001D6459"/>
    <w:rsid w:val="001F4B97"/>
    <w:rsid w:val="00225D7D"/>
    <w:rsid w:val="002819FA"/>
    <w:rsid w:val="002A7801"/>
    <w:rsid w:val="002B0560"/>
    <w:rsid w:val="002B1669"/>
    <w:rsid w:val="002D0B15"/>
    <w:rsid w:val="00321469"/>
    <w:rsid w:val="0032380F"/>
    <w:rsid w:val="00325F93"/>
    <w:rsid w:val="00337423"/>
    <w:rsid w:val="00347460"/>
    <w:rsid w:val="00357EC1"/>
    <w:rsid w:val="00363499"/>
    <w:rsid w:val="00390528"/>
    <w:rsid w:val="003A2CF6"/>
    <w:rsid w:val="003B4DB3"/>
    <w:rsid w:val="003C4D86"/>
    <w:rsid w:val="003F7678"/>
    <w:rsid w:val="00401A9A"/>
    <w:rsid w:val="00433002"/>
    <w:rsid w:val="0043768A"/>
    <w:rsid w:val="0044556C"/>
    <w:rsid w:val="004602EA"/>
    <w:rsid w:val="004721A8"/>
    <w:rsid w:val="004725B0"/>
    <w:rsid w:val="0049230E"/>
    <w:rsid w:val="004949E7"/>
    <w:rsid w:val="004B3808"/>
    <w:rsid w:val="004C2C67"/>
    <w:rsid w:val="004C307A"/>
    <w:rsid w:val="004D62E6"/>
    <w:rsid w:val="004F57E2"/>
    <w:rsid w:val="005069A6"/>
    <w:rsid w:val="00516935"/>
    <w:rsid w:val="00520301"/>
    <w:rsid w:val="005336E9"/>
    <w:rsid w:val="005C33EF"/>
    <w:rsid w:val="005E0BF3"/>
    <w:rsid w:val="00634596"/>
    <w:rsid w:val="00663C3F"/>
    <w:rsid w:val="00664634"/>
    <w:rsid w:val="0066610D"/>
    <w:rsid w:val="00667717"/>
    <w:rsid w:val="006B66F3"/>
    <w:rsid w:val="006E1146"/>
    <w:rsid w:val="00700F8A"/>
    <w:rsid w:val="007311C5"/>
    <w:rsid w:val="0074327E"/>
    <w:rsid w:val="007537FB"/>
    <w:rsid w:val="00771FFD"/>
    <w:rsid w:val="007952FA"/>
    <w:rsid w:val="007E1895"/>
    <w:rsid w:val="007E4231"/>
    <w:rsid w:val="008001EB"/>
    <w:rsid w:val="00805E61"/>
    <w:rsid w:val="00834CA2"/>
    <w:rsid w:val="008530CA"/>
    <w:rsid w:val="008568BD"/>
    <w:rsid w:val="00896B82"/>
    <w:rsid w:val="008A1485"/>
    <w:rsid w:val="008A3269"/>
    <w:rsid w:val="008D61D9"/>
    <w:rsid w:val="008F12B1"/>
    <w:rsid w:val="00900B17"/>
    <w:rsid w:val="00926C99"/>
    <w:rsid w:val="00927155"/>
    <w:rsid w:val="0093289A"/>
    <w:rsid w:val="009650D1"/>
    <w:rsid w:val="00974C66"/>
    <w:rsid w:val="009A519E"/>
    <w:rsid w:val="009E2EB3"/>
    <w:rsid w:val="00A01D7C"/>
    <w:rsid w:val="00A10FB3"/>
    <w:rsid w:val="00A33B4C"/>
    <w:rsid w:val="00A37ABC"/>
    <w:rsid w:val="00A46366"/>
    <w:rsid w:val="00AA672B"/>
    <w:rsid w:val="00AC2E6B"/>
    <w:rsid w:val="00AC3D9E"/>
    <w:rsid w:val="00AF6F07"/>
    <w:rsid w:val="00B12208"/>
    <w:rsid w:val="00B47E1C"/>
    <w:rsid w:val="00B548AE"/>
    <w:rsid w:val="00B67E01"/>
    <w:rsid w:val="00B82345"/>
    <w:rsid w:val="00B872A3"/>
    <w:rsid w:val="00B94464"/>
    <w:rsid w:val="00B97559"/>
    <w:rsid w:val="00BA5BD4"/>
    <w:rsid w:val="00BB5240"/>
    <w:rsid w:val="00BB7356"/>
    <w:rsid w:val="00BD5DD5"/>
    <w:rsid w:val="00BF3EEA"/>
    <w:rsid w:val="00BF405F"/>
    <w:rsid w:val="00C13900"/>
    <w:rsid w:val="00C24B55"/>
    <w:rsid w:val="00C272E0"/>
    <w:rsid w:val="00C43B21"/>
    <w:rsid w:val="00C63A4F"/>
    <w:rsid w:val="00C67E89"/>
    <w:rsid w:val="00C86D07"/>
    <w:rsid w:val="00CA0B89"/>
    <w:rsid w:val="00CA0C0B"/>
    <w:rsid w:val="00CA3A6A"/>
    <w:rsid w:val="00CB33E8"/>
    <w:rsid w:val="00CB5AA6"/>
    <w:rsid w:val="00CC1923"/>
    <w:rsid w:val="00CC1ECA"/>
    <w:rsid w:val="00CD2FB9"/>
    <w:rsid w:val="00D042FE"/>
    <w:rsid w:val="00D16118"/>
    <w:rsid w:val="00D23C8F"/>
    <w:rsid w:val="00D45BD6"/>
    <w:rsid w:val="00D754FA"/>
    <w:rsid w:val="00D92D76"/>
    <w:rsid w:val="00DA6E0A"/>
    <w:rsid w:val="00DB1A1C"/>
    <w:rsid w:val="00DB51E9"/>
    <w:rsid w:val="00DE3026"/>
    <w:rsid w:val="00DE43E0"/>
    <w:rsid w:val="00E07CB9"/>
    <w:rsid w:val="00E14AC4"/>
    <w:rsid w:val="00E23304"/>
    <w:rsid w:val="00E3149A"/>
    <w:rsid w:val="00E35371"/>
    <w:rsid w:val="00E56FC6"/>
    <w:rsid w:val="00E652D4"/>
    <w:rsid w:val="00E905E5"/>
    <w:rsid w:val="00E92FD7"/>
    <w:rsid w:val="00EA12CF"/>
    <w:rsid w:val="00EB5ECD"/>
    <w:rsid w:val="00EE2FE2"/>
    <w:rsid w:val="00EE7A66"/>
    <w:rsid w:val="00F04B42"/>
    <w:rsid w:val="00F051C5"/>
    <w:rsid w:val="00F1621E"/>
    <w:rsid w:val="00F30697"/>
    <w:rsid w:val="00F917E2"/>
    <w:rsid w:val="00FA73FA"/>
    <w:rsid w:val="00FB5A4A"/>
    <w:rsid w:val="00FC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23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23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5D7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823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823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C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C6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B05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5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5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5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56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25EB"/>
  </w:style>
  <w:style w:type="paragraph" w:styleId="Header">
    <w:name w:val="header"/>
    <w:basedOn w:val="Normal"/>
    <w:link w:val="HeaderChar"/>
    <w:unhideWhenUsed/>
    <w:rsid w:val="006677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717"/>
  </w:style>
  <w:style w:type="paragraph" w:styleId="Footer">
    <w:name w:val="footer"/>
    <w:basedOn w:val="Normal"/>
    <w:link w:val="FooterChar"/>
    <w:uiPriority w:val="99"/>
    <w:unhideWhenUsed/>
    <w:rsid w:val="006677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7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23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23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5D7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823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823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C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C6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B05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5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5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5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56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25EB"/>
  </w:style>
  <w:style w:type="paragraph" w:styleId="Header">
    <w:name w:val="header"/>
    <w:basedOn w:val="Normal"/>
    <w:link w:val="HeaderChar"/>
    <w:unhideWhenUsed/>
    <w:rsid w:val="006677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717"/>
  </w:style>
  <w:style w:type="paragraph" w:styleId="Footer">
    <w:name w:val="footer"/>
    <w:basedOn w:val="Normal"/>
    <w:link w:val="FooterChar"/>
    <w:uiPriority w:val="99"/>
    <w:unhideWhenUsed/>
    <w:rsid w:val="006677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52803-9FDB-4F7D-84AD-C826C26843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1819C5-EB68-40E1-A6D9-ABB33C661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Babineau, Ian</dc:creator>
  <cp:lastModifiedBy>Takahashi, Maria</cp:lastModifiedBy>
  <cp:revision>2</cp:revision>
  <cp:lastPrinted>2014-03-25T18:29:00Z</cp:lastPrinted>
  <dcterms:created xsi:type="dcterms:W3CDTF">2015-09-21T19:42:00Z</dcterms:created>
  <dcterms:modified xsi:type="dcterms:W3CDTF">2015-09-21T19:42:00Z</dcterms:modified>
</cp:coreProperties>
</file>