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66" w:rsidRPr="004930AA" w:rsidRDefault="00982666" w:rsidP="00172DB8">
      <w:pPr>
        <w:tabs>
          <w:tab w:val="left" w:pos="3186"/>
          <w:tab w:val="center" w:pos="4680"/>
        </w:tabs>
        <w:autoSpaceDE w:val="0"/>
        <w:autoSpaceDN w:val="0"/>
        <w:adjustRightInd w:val="0"/>
        <w:spacing w:line="240" w:lineRule="auto"/>
        <w:jc w:val="center"/>
        <w:rPr>
          <w:rFonts w:eastAsia="Times New Roman" w:cs="Times New Roman"/>
          <w:b/>
          <w:bCs/>
          <w:sz w:val="24"/>
        </w:rPr>
      </w:pPr>
      <w:r w:rsidRPr="004930AA">
        <w:rPr>
          <w:rFonts w:eastAsia="Times New Roman" w:cs="Times New Roman"/>
          <w:b/>
          <w:bCs/>
          <w:sz w:val="24"/>
        </w:rPr>
        <w:t>STATE OF MINNESOTA</w:t>
      </w:r>
    </w:p>
    <w:p w:rsidR="00982666" w:rsidRPr="004930AA" w:rsidRDefault="004930AA" w:rsidP="00172DB8">
      <w:pPr>
        <w:autoSpaceDE w:val="0"/>
        <w:autoSpaceDN w:val="0"/>
        <w:adjustRightInd w:val="0"/>
        <w:spacing w:line="240" w:lineRule="auto"/>
        <w:jc w:val="center"/>
        <w:rPr>
          <w:rFonts w:eastAsia="Times New Roman" w:cs="Times New Roman"/>
          <w:b/>
          <w:bCs/>
          <w:sz w:val="24"/>
        </w:rPr>
      </w:pPr>
      <w:r w:rsidRPr="004930AA">
        <w:rPr>
          <w:rFonts w:eastAsia="Times New Roman" w:cs="Times New Roman"/>
          <w:b/>
          <w:bCs/>
          <w:sz w:val="24"/>
        </w:rPr>
        <w:t xml:space="preserve">MINNESOTA </w:t>
      </w:r>
      <w:r w:rsidR="00982666" w:rsidRPr="004930AA">
        <w:rPr>
          <w:rFonts w:eastAsia="Times New Roman" w:cs="Times New Roman"/>
          <w:b/>
          <w:bCs/>
          <w:sz w:val="24"/>
        </w:rPr>
        <w:t>POLLUTION CONTROL AGENCY</w:t>
      </w:r>
    </w:p>
    <w:p w:rsidR="00982666" w:rsidRPr="001F123C" w:rsidRDefault="00982666" w:rsidP="00172DB8">
      <w:pPr>
        <w:autoSpaceDE w:val="0"/>
        <w:autoSpaceDN w:val="0"/>
        <w:adjustRightInd w:val="0"/>
        <w:spacing w:line="240" w:lineRule="auto"/>
        <w:rPr>
          <w:rFonts w:eastAsia="Times New Roman" w:cs="Times New Roman"/>
          <w:b/>
          <w:bCs/>
        </w:rPr>
      </w:pPr>
    </w:p>
    <w:p w:rsidR="00982666" w:rsidRDefault="00982666" w:rsidP="00172DB8">
      <w:pPr>
        <w:autoSpaceDE w:val="0"/>
        <w:autoSpaceDN w:val="0"/>
        <w:adjustRightInd w:val="0"/>
        <w:spacing w:line="240" w:lineRule="auto"/>
        <w:rPr>
          <w:rFonts w:eastAsia="Times New Roman" w:cs="Times New Roman"/>
          <w:b/>
          <w:bCs/>
        </w:rPr>
      </w:pPr>
    </w:p>
    <w:p w:rsidR="001F123C" w:rsidRPr="001F123C" w:rsidRDefault="001F123C" w:rsidP="00172DB8">
      <w:pPr>
        <w:autoSpaceDE w:val="0"/>
        <w:autoSpaceDN w:val="0"/>
        <w:adjustRightInd w:val="0"/>
        <w:spacing w:line="240" w:lineRule="auto"/>
        <w:rPr>
          <w:rFonts w:eastAsia="Times New Roman" w:cs="Times New Roman"/>
          <w:b/>
          <w:bC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8"/>
        <w:gridCol w:w="3690"/>
      </w:tblGrid>
      <w:tr w:rsidR="00982666" w:rsidRPr="001F123C" w:rsidTr="002D4D50">
        <w:tc>
          <w:tcPr>
            <w:tcW w:w="5778" w:type="dxa"/>
          </w:tcPr>
          <w:p w:rsidR="004930AA" w:rsidRDefault="00982666" w:rsidP="00172DB8">
            <w:pPr>
              <w:autoSpaceDE w:val="0"/>
              <w:autoSpaceDN w:val="0"/>
              <w:adjustRightInd w:val="0"/>
              <w:rPr>
                <w:rFonts w:asciiTheme="minorHAnsi" w:hAnsiTheme="minorHAnsi"/>
                <w:b/>
                <w:bCs/>
                <w:sz w:val="22"/>
                <w:szCs w:val="22"/>
              </w:rPr>
            </w:pPr>
            <w:r w:rsidRPr="001F123C">
              <w:rPr>
                <w:rFonts w:asciiTheme="minorHAnsi" w:hAnsiTheme="minorHAnsi"/>
                <w:b/>
                <w:bCs/>
                <w:sz w:val="22"/>
                <w:szCs w:val="22"/>
              </w:rPr>
              <w:t xml:space="preserve">In the Matter of the Decision to Deny the Petitions </w:t>
            </w:r>
          </w:p>
          <w:p w:rsidR="004930AA" w:rsidRDefault="004930AA" w:rsidP="00172DB8">
            <w:pPr>
              <w:autoSpaceDE w:val="0"/>
              <w:autoSpaceDN w:val="0"/>
              <w:adjustRightInd w:val="0"/>
              <w:rPr>
                <w:rFonts w:asciiTheme="minorHAnsi" w:hAnsiTheme="minorHAnsi"/>
                <w:b/>
                <w:bCs/>
                <w:sz w:val="22"/>
                <w:szCs w:val="22"/>
              </w:rPr>
            </w:pPr>
            <w:r>
              <w:rPr>
                <w:rFonts w:asciiTheme="minorHAnsi" w:hAnsiTheme="minorHAnsi"/>
                <w:b/>
                <w:bCs/>
                <w:sz w:val="22"/>
                <w:szCs w:val="22"/>
              </w:rPr>
              <w:t>F</w:t>
            </w:r>
            <w:r w:rsidR="00982666" w:rsidRPr="001F123C">
              <w:rPr>
                <w:rFonts w:asciiTheme="minorHAnsi" w:hAnsiTheme="minorHAnsi"/>
                <w:b/>
                <w:bCs/>
                <w:sz w:val="22"/>
                <w:szCs w:val="22"/>
              </w:rPr>
              <w:t xml:space="preserve">or a Contested Case Hearing and to Submit the </w:t>
            </w:r>
          </w:p>
          <w:p w:rsidR="004930AA" w:rsidRDefault="004930AA" w:rsidP="00172DB8">
            <w:pPr>
              <w:autoSpaceDE w:val="0"/>
              <w:autoSpaceDN w:val="0"/>
              <w:adjustRightInd w:val="0"/>
              <w:rPr>
                <w:rFonts w:asciiTheme="minorHAnsi" w:hAnsiTheme="minorHAnsi"/>
                <w:b/>
                <w:bCs/>
                <w:sz w:val="22"/>
                <w:szCs w:val="22"/>
              </w:rPr>
            </w:pPr>
            <w:r>
              <w:rPr>
                <w:rFonts w:asciiTheme="minorHAnsi" w:hAnsiTheme="minorHAnsi"/>
                <w:b/>
                <w:bCs/>
                <w:sz w:val="22"/>
                <w:szCs w:val="22"/>
              </w:rPr>
              <w:t xml:space="preserve">Draft </w:t>
            </w:r>
            <w:r w:rsidR="008D6999" w:rsidRPr="001F123C">
              <w:rPr>
                <w:rFonts w:asciiTheme="minorHAnsi" w:hAnsiTheme="minorHAnsi"/>
                <w:b/>
                <w:bCs/>
                <w:sz w:val="22"/>
                <w:szCs w:val="22"/>
              </w:rPr>
              <w:t>Little Rock Creek</w:t>
            </w:r>
            <w:r w:rsidR="00982666" w:rsidRPr="001F123C">
              <w:rPr>
                <w:rFonts w:asciiTheme="minorHAnsi" w:hAnsiTheme="minorHAnsi"/>
                <w:b/>
                <w:bCs/>
                <w:sz w:val="22"/>
                <w:szCs w:val="22"/>
              </w:rPr>
              <w:t xml:space="preserve"> </w:t>
            </w:r>
            <w:r w:rsidR="00DF1A63" w:rsidRPr="001F123C">
              <w:rPr>
                <w:rFonts w:asciiTheme="minorHAnsi" w:hAnsiTheme="minorHAnsi"/>
                <w:b/>
                <w:bCs/>
                <w:sz w:val="22"/>
                <w:szCs w:val="22"/>
              </w:rPr>
              <w:t>Dissolved Oxygen, Nitrate, Temperature</w:t>
            </w:r>
            <w:r>
              <w:rPr>
                <w:rFonts w:asciiTheme="minorHAnsi" w:hAnsiTheme="minorHAnsi"/>
                <w:b/>
                <w:bCs/>
                <w:sz w:val="22"/>
                <w:szCs w:val="22"/>
              </w:rPr>
              <w:t>,</w:t>
            </w:r>
            <w:r w:rsidR="00DF1A63" w:rsidRPr="001F123C">
              <w:rPr>
                <w:rFonts w:asciiTheme="minorHAnsi" w:hAnsiTheme="minorHAnsi"/>
                <w:b/>
                <w:bCs/>
                <w:sz w:val="22"/>
                <w:szCs w:val="22"/>
              </w:rPr>
              <w:t xml:space="preserve"> and Fish </w:t>
            </w:r>
            <w:proofErr w:type="spellStart"/>
            <w:r w:rsidR="00DF1A63" w:rsidRPr="001F123C">
              <w:rPr>
                <w:rFonts w:asciiTheme="minorHAnsi" w:hAnsiTheme="minorHAnsi"/>
                <w:b/>
                <w:bCs/>
                <w:sz w:val="22"/>
                <w:szCs w:val="22"/>
              </w:rPr>
              <w:t>Bioassessment</w:t>
            </w:r>
            <w:proofErr w:type="spellEnd"/>
            <w:r w:rsidR="00982666" w:rsidRPr="001F123C">
              <w:rPr>
                <w:rFonts w:asciiTheme="minorHAnsi" w:hAnsiTheme="minorHAnsi"/>
                <w:b/>
                <w:bCs/>
                <w:sz w:val="22"/>
                <w:szCs w:val="22"/>
              </w:rPr>
              <w:t xml:space="preserve"> </w:t>
            </w:r>
          </w:p>
          <w:p w:rsidR="004930AA" w:rsidRDefault="00982666" w:rsidP="00172DB8">
            <w:pPr>
              <w:autoSpaceDE w:val="0"/>
              <w:autoSpaceDN w:val="0"/>
              <w:adjustRightInd w:val="0"/>
              <w:rPr>
                <w:rFonts w:asciiTheme="minorHAnsi" w:hAnsiTheme="minorHAnsi"/>
                <w:b/>
                <w:bCs/>
                <w:sz w:val="22"/>
                <w:szCs w:val="22"/>
              </w:rPr>
            </w:pPr>
            <w:r w:rsidRPr="001F123C">
              <w:rPr>
                <w:rFonts w:asciiTheme="minorHAnsi" w:hAnsiTheme="minorHAnsi"/>
                <w:b/>
                <w:bCs/>
                <w:sz w:val="22"/>
                <w:szCs w:val="22"/>
              </w:rPr>
              <w:t xml:space="preserve">Total Maximum Daily Load Study to the </w:t>
            </w:r>
          </w:p>
          <w:p w:rsidR="00982666" w:rsidRPr="001F123C" w:rsidRDefault="00982666" w:rsidP="00172DB8">
            <w:pPr>
              <w:autoSpaceDE w:val="0"/>
              <w:autoSpaceDN w:val="0"/>
              <w:adjustRightInd w:val="0"/>
              <w:rPr>
                <w:rFonts w:asciiTheme="minorHAnsi" w:hAnsiTheme="minorHAnsi"/>
                <w:b/>
                <w:bCs/>
                <w:sz w:val="22"/>
                <w:szCs w:val="22"/>
              </w:rPr>
            </w:pPr>
            <w:r w:rsidRPr="001F123C">
              <w:rPr>
                <w:rFonts w:asciiTheme="minorHAnsi" w:hAnsiTheme="minorHAnsi"/>
                <w:b/>
                <w:bCs/>
                <w:sz w:val="22"/>
                <w:szCs w:val="22"/>
              </w:rPr>
              <w:t>U.S. Environmental Protection Agency For Approval</w:t>
            </w:r>
          </w:p>
        </w:tc>
        <w:tc>
          <w:tcPr>
            <w:tcW w:w="3690" w:type="dxa"/>
          </w:tcPr>
          <w:p w:rsidR="00982666" w:rsidRPr="001F123C" w:rsidRDefault="00982666" w:rsidP="00172DB8">
            <w:pPr>
              <w:autoSpaceDE w:val="0"/>
              <w:autoSpaceDN w:val="0"/>
              <w:adjustRightInd w:val="0"/>
              <w:rPr>
                <w:rFonts w:asciiTheme="minorHAnsi" w:hAnsiTheme="minorHAnsi"/>
                <w:b/>
                <w:bCs/>
                <w:sz w:val="22"/>
                <w:szCs w:val="22"/>
              </w:rPr>
            </w:pPr>
          </w:p>
          <w:p w:rsidR="00982666" w:rsidRPr="001F123C" w:rsidRDefault="00982666" w:rsidP="00172DB8">
            <w:pPr>
              <w:autoSpaceDE w:val="0"/>
              <w:autoSpaceDN w:val="0"/>
              <w:adjustRightInd w:val="0"/>
              <w:jc w:val="right"/>
              <w:rPr>
                <w:rFonts w:asciiTheme="minorHAnsi" w:hAnsiTheme="minorHAnsi"/>
                <w:b/>
                <w:bCs/>
                <w:sz w:val="22"/>
                <w:szCs w:val="22"/>
              </w:rPr>
            </w:pPr>
            <w:r w:rsidRPr="001F123C">
              <w:rPr>
                <w:rFonts w:asciiTheme="minorHAnsi" w:hAnsiTheme="minorHAnsi"/>
                <w:b/>
                <w:bCs/>
                <w:sz w:val="22"/>
                <w:szCs w:val="22"/>
              </w:rPr>
              <w:t>FINDINGS OF FACT,</w:t>
            </w:r>
          </w:p>
          <w:p w:rsidR="00982666" w:rsidRPr="001F123C" w:rsidRDefault="00982666" w:rsidP="00172DB8">
            <w:pPr>
              <w:autoSpaceDE w:val="0"/>
              <w:autoSpaceDN w:val="0"/>
              <w:adjustRightInd w:val="0"/>
              <w:jc w:val="right"/>
              <w:rPr>
                <w:rFonts w:asciiTheme="minorHAnsi" w:hAnsiTheme="minorHAnsi"/>
                <w:b/>
                <w:bCs/>
                <w:sz w:val="22"/>
                <w:szCs w:val="22"/>
              </w:rPr>
            </w:pPr>
            <w:r w:rsidRPr="001F123C">
              <w:rPr>
                <w:rFonts w:asciiTheme="minorHAnsi" w:hAnsiTheme="minorHAnsi"/>
                <w:b/>
                <w:bCs/>
                <w:sz w:val="22"/>
                <w:szCs w:val="22"/>
              </w:rPr>
              <w:t>CONCLUSIONS OF LAW</w:t>
            </w:r>
          </w:p>
          <w:p w:rsidR="00982666" w:rsidRPr="001F123C" w:rsidRDefault="00982666" w:rsidP="00172DB8">
            <w:pPr>
              <w:autoSpaceDE w:val="0"/>
              <w:autoSpaceDN w:val="0"/>
              <w:adjustRightInd w:val="0"/>
              <w:jc w:val="right"/>
              <w:rPr>
                <w:rFonts w:asciiTheme="minorHAnsi" w:hAnsiTheme="minorHAnsi"/>
                <w:b/>
                <w:bCs/>
                <w:sz w:val="22"/>
                <w:szCs w:val="22"/>
              </w:rPr>
            </w:pPr>
            <w:r w:rsidRPr="001F123C">
              <w:rPr>
                <w:rFonts w:asciiTheme="minorHAnsi" w:hAnsiTheme="minorHAnsi"/>
                <w:b/>
                <w:bCs/>
                <w:sz w:val="22"/>
                <w:szCs w:val="22"/>
              </w:rPr>
              <w:t>AND ORDER</w:t>
            </w:r>
          </w:p>
        </w:tc>
      </w:tr>
    </w:tbl>
    <w:p w:rsidR="00982666" w:rsidRDefault="00982666" w:rsidP="00172DB8">
      <w:pPr>
        <w:autoSpaceDE w:val="0"/>
        <w:autoSpaceDN w:val="0"/>
        <w:adjustRightInd w:val="0"/>
        <w:spacing w:line="240" w:lineRule="auto"/>
        <w:rPr>
          <w:rFonts w:eastAsia="Times New Roman" w:cs="Times New Roman"/>
          <w:b/>
          <w:bCs/>
        </w:rPr>
      </w:pPr>
    </w:p>
    <w:p w:rsidR="001F123C" w:rsidRDefault="001F123C" w:rsidP="00172DB8">
      <w:pPr>
        <w:autoSpaceDE w:val="0"/>
        <w:autoSpaceDN w:val="0"/>
        <w:adjustRightInd w:val="0"/>
        <w:spacing w:line="240" w:lineRule="auto"/>
        <w:rPr>
          <w:rFonts w:eastAsia="Times New Roman" w:cs="Times New Roman"/>
          <w:b/>
          <w:bCs/>
        </w:rPr>
      </w:pPr>
    </w:p>
    <w:p w:rsidR="001F123C" w:rsidRPr="001F123C" w:rsidRDefault="001F123C" w:rsidP="00172DB8">
      <w:pPr>
        <w:autoSpaceDE w:val="0"/>
        <w:autoSpaceDN w:val="0"/>
        <w:adjustRightInd w:val="0"/>
        <w:spacing w:line="240" w:lineRule="auto"/>
        <w:rPr>
          <w:rFonts w:eastAsia="Times New Roman" w:cs="Times New Roman"/>
          <w:b/>
          <w:bCs/>
        </w:rPr>
      </w:pPr>
    </w:p>
    <w:p w:rsidR="00982666" w:rsidRPr="001F123C" w:rsidRDefault="00982666" w:rsidP="00172DB8">
      <w:pPr>
        <w:autoSpaceDE w:val="0"/>
        <w:autoSpaceDN w:val="0"/>
        <w:adjustRightInd w:val="0"/>
        <w:spacing w:line="240" w:lineRule="auto"/>
        <w:rPr>
          <w:rFonts w:eastAsia="Times New Roman" w:cs="Times New Roman"/>
        </w:rPr>
      </w:pPr>
      <w:r w:rsidRPr="001F123C">
        <w:rPr>
          <w:rFonts w:eastAsia="Times New Roman" w:cs="Times New Roman"/>
        </w:rPr>
        <w:t>Pursuant to the federal Clean Water Act (33 U.S.</w:t>
      </w:r>
      <w:r w:rsidR="00AA0AAC">
        <w:rPr>
          <w:rFonts w:eastAsia="Times New Roman" w:cs="Times New Roman"/>
        </w:rPr>
        <w:t xml:space="preserve"> </w:t>
      </w:r>
      <w:r w:rsidRPr="001F123C">
        <w:rPr>
          <w:rFonts w:eastAsia="Times New Roman" w:cs="Times New Roman"/>
        </w:rPr>
        <w:t xml:space="preserve">Code </w:t>
      </w:r>
      <w:r w:rsidR="002003B7">
        <w:rPr>
          <w:rFonts w:eastAsia="Times New Roman" w:cs="Times New Roman"/>
        </w:rPr>
        <w:t>§§</w:t>
      </w:r>
      <w:r w:rsidRPr="001F123C">
        <w:rPr>
          <w:rFonts w:eastAsia="Times New Roman" w:cs="Times New Roman"/>
        </w:rPr>
        <w:t xml:space="preserve"> 1251-1387) the Minnesota Pollution Control Agency (MPCA) staff prepared the</w:t>
      </w:r>
      <w:r w:rsidR="00F25148">
        <w:rPr>
          <w:rFonts w:eastAsia="Times New Roman" w:cs="Times New Roman"/>
        </w:rPr>
        <w:t xml:space="preserve"> Draft</w:t>
      </w:r>
      <w:r w:rsidRPr="001F123C">
        <w:rPr>
          <w:rFonts w:eastAsia="Times New Roman" w:cs="Times New Roman"/>
        </w:rPr>
        <w:t xml:space="preserve"> </w:t>
      </w:r>
      <w:r w:rsidR="008D6999" w:rsidRPr="001F123C">
        <w:rPr>
          <w:rFonts w:eastAsia="Times New Roman" w:cs="Times New Roman"/>
        </w:rPr>
        <w:t>Little Rock Creek</w:t>
      </w:r>
      <w:bookmarkStart w:id="0" w:name="_GoBack"/>
      <w:bookmarkEnd w:id="0"/>
      <w:r w:rsidRPr="001F123C">
        <w:rPr>
          <w:rFonts w:eastAsia="Times New Roman" w:cs="Times New Roman"/>
        </w:rPr>
        <w:t xml:space="preserve"> </w:t>
      </w:r>
      <w:r w:rsidR="00535E3C" w:rsidRPr="001F123C">
        <w:rPr>
          <w:rFonts w:eastAsia="Times New Roman" w:cs="Times New Roman"/>
        </w:rPr>
        <w:t>Dissolved Oxygen</w:t>
      </w:r>
      <w:r w:rsidR="00554129" w:rsidRPr="001F123C">
        <w:rPr>
          <w:rFonts w:eastAsia="Times New Roman" w:cs="Times New Roman"/>
        </w:rPr>
        <w:t xml:space="preserve"> (DO)</w:t>
      </w:r>
      <w:r w:rsidR="00535E3C" w:rsidRPr="001F123C">
        <w:rPr>
          <w:rFonts w:eastAsia="Times New Roman" w:cs="Times New Roman"/>
        </w:rPr>
        <w:t>, Nitrate, Temperature</w:t>
      </w:r>
      <w:r w:rsidR="00F25148">
        <w:rPr>
          <w:rFonts w:eastAsia="Times New Roman" w:cs="Times New Roman"/>
        </w:rPr>
        <w:t>,</w:t>
      </w:r>
      <w:r w:rsidR="00535E3C" w:rsidRPr="001F123C">
        <w:rPr>
          <w:rFonts w:eastAsia="Times New Roman" w:cs="Times New Roman"/>
        </w:rPr>
        <w:t xml:space="preserve"> and Fish </w:t>
      </w:r>
      <w:proofErr w:type="spellStart"/>
      <w:r w:rsidR="00535E3C" w:rsidRPr="001F123C">
        <w:rPr>
          <w:rFonts w:eastAsia="Times New Roman" w:cs="Times New Roman"/>
        </w:rPr>
        <w:t>Bioassessment</w:t>
      </w:r>
      <w:proofErr w:type="spellEnd"/>
      <w:r w:rsidRPr="001F123C">
        <w:rPr>
          <w:rFonts w:eastAsia="Times New Roman" w:cs="Times New Roman"/>
        </w:rPr>
        <w:t xml:space="preserve"> Total Maximum Daily Load (TMDL)</w:t>
      </w:r>
      <w:r w:rsidR="00A0324A" w:rsidRPr="001F123C">
        <w:rPr>
          <w:rFonts w:eastAsia="Times New Roman" w:cs="Times New Roman"/>
        </w:rPr>
        <w:t xml:space="preserve"> </w:t>
      </w:r>
      <w:r w:rsidRPr="001F123C">
        <w:rPr>
          <w:rFonts w:eastAsia="Times New Roman" w:cs="Times New Roman"/>
        </w:rPr>
        <w:t xml:space="preserve">study </w:t>
      </w:r>
      <w:r w:rsidR="00A0324A" w:rsidRPr="001F123C">
        <w:rPr>
          <w:rFonts w:eastAsia="Times New Roman" w:cs="Times New Roman"/>
        </w:rPr>
        <w:t xml:space="preserve">(referred to herein as “the Little Rock Creek TMDL”) </w:t>
      </w:r>
      <w:r w:rsidRPr="001F123C">
        <w:rPr>
          <w:rFonts w:eastAsia="Times New Roman" w:cs="Times New Roman"/>
        </w:rPr>
        <w:t>for submission to the U.S. Environmental Protection Agency (EPA) for approval. After affording all interested persons the opportunity to present written and oral data, statements, and arguments to the MPCA, and after considering all of the evidence in the records, files, and proceedings herein, the MPCA Commissioner, being fully advised, hereby adopts the following Findings of Fact, Conclusions of Law and Order.</w:t>
      </w:r>
    </w:p>
    <w:p w:rsidR="00982666" w:rsidRPr="001F123C" w:rsidRDefault="00982666" w:rsidP="00172DB8">
      <w:pPr>
        <w:tabs>
          <w:tab w:val="left" w:pos="204"/>
        </w:tabs>
        <w:autoSpaceDE w:val="0"/>
        <w:autoSpaceDN w:val="0"/>
        <w:adjustRightInd w:val="0"/>
        <w:spacing w:line="240" w:lineRule="auto"/>
        <w:rPr>
          <w:rFonts w:eastAsia="Times New Roman" w:cs="Times New Roman"/>
        </w:rPr>
      </w:pPr>
    </w:p>
    <w:p w:rsidR="00982666" w:rsidRPr="001F123C" w:rsidRDefault="00982666" w:rsidP="00172DB8">
      <w:pPr>
        <w:tabs>
          <w:tab w:val="left" w:pos="204"/>
        </w:tabs>
        <w:autoSpaceDE w:val="0"/>
        <w:autoSpaceDN w:val="0"/>
        <w:adjustRightInd w:val="0"/>
        <w:spacing w:line="240" w:lineRule="auto"/>
        <w:rPr>
          <w:rFonts w:eastAsia="Times New Roman" w:cs="Times New Roman"/>
        </w:rPr>
      </w:pPr>
    </w:p>
    <w:p w:rsidR="00982666" w:rsidRPr="001F123C" w:rsidRDefault="00982666" w:rsidP="00172DB8">
      <w:pPr>
        <w:autoSpaceDE w:val="0"/>
        <w:autoSpaceDN w:val="0"/>
        <w:adjustRightInd w:val="0"/>
        <w:spacing w:line="240" w:lineRule="auto"/>
        <w:jc w:val="center"/>
        <w:rPr>
          <w:rFonts w:eastAsia="Times New Roman" w:cs="Times New Roman"/>
          <w:b/>
          <w:bCs/>
        </w:rPr>
      </w:pPr>
      <w:r w:rsidRPr="001F123C">
        <w:rPr>
          <w:rFonts w:eastAsia="Times New Roman" w:cs="Times New Roman"/>
          <w:b/>
          <w:bCs/>
        </w:rPr>
        <w:t>I.</w:t>
      </w:r>
      <w:r w:rsidRPr="001F123C">
        <w:rPr>
          <w:rFonts w:eastAsia="Times New Roman" w:cs="Times New Roman"/>
          <w:b/>
          <w:bCs/>
        </w:rPr>
        <w:tab/>
        <w:t>FINDINGS OF FACT</w:t>
      </w:r>
    </w:p>
    <w:p w:rsidR="00982666" w:rsidRPr="001F123C" w:rsidRDefault="00982666" w:rsidP="00172DB8">
      <w:pPr>
        <w:tabs>
          <w:tab w:val="left" w:pos="204"/>
        </w:tabs>
        <w:autoSpaceDE w:val="0"/>
        <w:autoSpaceDN w:val="0"/>
        <w:adjustRightInd w:val="0"/>
        <w:spacing w:line="240" w:lineRule="auto"/>
        <w:rPr>
          <w:rFonts w:eastAsia="Times New Roman" w:cs="Times New Roman"/>
          <w:b/>
          <w:bCs/>
        </w:rPr>
      </w:pPr>
    </w:p>
    <w:p w:rsidR="00982666" w:rsidRPr="001F123C" w:rsidRDefault="00982666" w:rsidP="00172DB8">
      <w:pPr>
        <w:numPr>
          <w:ilvl w:val="0"/>
          <w:numId w:val="6"/>
        </w:numPr>
        <w:autoSpaceDE w:val="0"/>
        <w:autoSpaceDN w:val="0"/>
        <w:adjustRightInd w:val="0"/>
        <w:spacing w:line="240" w:lineRule="auto"/>
        <w:contextualSpacing/>
        <w:rPr>
          <w:rFonts w:eastAsia="Times New Roman" w:cs="Times New Roman"/>
          <w:b/>
          <w:bCs/>
          <w:i/>
          <w:iCs/>
        </w:rPr>
      </w:pPr>
      <w:r w:rsidRPr="001F123C">
        <w:rPr>
          <w:rFonts w:eastAsia="Times New Roman" w:cs="Times New Roman"/>
          <w:b/>
          <w:bCs/>
          <w:i/>
          <w:iCs/>
        </w:rPr>
        <w:t>Jurisdiction</w:t>
      </w:r>
    </w:p>
    <w:p w:rsidR="00982666" w:rsidRPr="001F123C" w:rsidRDefault="00982666" w:rsidP="00172DB8">
      <w:pPr>
        <w:autoSpaceDE w:val="0"/>
        <w:autoSpaceDN w:val="0"/>
        <w:adjustRightInd w:val="0"/>
        <w:spacing w:line="240" w:lineRule="auto"/>
        <w:ind w:left="720" w:hanging="720"/>
        <w:rPr>
          <w:rFonts w:eastAsia="Times New Roman" w:cs="Times New Roman"/>
          <w:b/>
          <w:bCs/>
          <w:i/>
          <w:iCs/>
        </w:rPr>
      </w:pPr>
    </w:p>
    <w:p w:rsidR="00982666" w:rsidRPr="001F123C" w:rsidRDefault="00982666"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The MPCA </w:t>
      </w:r>
      <w:proofErr w:type="gramStart"/>
      <w:r w:rsidRPr="001F123C">
        <w:rPr>
          <w:rFonts w:eastAsia="Times New Roman" w:cs="Times New Roman"/>
        </w:rPr>
        <w:t>is authorized and required to administer and enforce all laws relating to the pollution of any waters of the state</w:t>
      </w:r>
      <w:proofErr w:type="gramEnd"/>
      <w:r w:rsidRPr="001F123C">
        <w:rPr>
          <w:rFonts w:eastAsia="Times New Roman" w:cs="Times New Roman"/>
        </w:rPr>
        <w:t xml:space="preserve">. </w:t>
      </w:r>
      <w:proofErr w:type="gramStart"/>
      <w:r w:rsidRPr="001F123C">
        <w:rPr>
          <w:rFonts w:eastAsia="Times New Roman" w:cs="Times New Roman"/>
        </w:rPr>
        <w:t xml:space="preserve">Minn. Stat. § 115.03, </w:t>
      </w:r>
      <w:proofErr w:type="spellStart"/>
      <w:r w:rsidRPr="001F123C">
        <w:rPr>
          <w:rFonts w:eastAsia="Times New Roman" w:cs="Times New Roman"/>
        </w:rPr>
        <w:t>subd</w:t>
      </w:r>
      <w:proofErr w:type="spellEnd"/>
      <w:r w:rsidRPr="001F123C">
        <w:rPr>
          <w:rFonts w:eastAsia="Times New Roman" w:cs="Times New Roman"/>
        </w:rPr>
        <w:t>.</w:t>
      </w:r>
      <w:proofErr w:type="gramEnd"/>
      <w:r w:rsidRPr="001F123C">
        <w:rPr>
          <w:rFonts w:eastAsia="Times New Roman" w:cs="Times New Roman"/>
        </w:rPr>
        <w:t xml:space="preserve"> </w:t>
      </w:r>
      <w:proofErr w:type="gramStart"/>
      <w:r w:rsidRPr="001F123C">
        <w:rPr>
          <w:rFonts w:eastAsia="Times New Roman" w:cs="Times New Roman"/>
        </w:rPr>
        <w:t>1(a)</w:t>
      </w:r>
      <w:r w:rsidR="00F25148">
        <w:rPr>
          <w:rFonts w:eastAsia="Times New Roman" w:cs="Times New Roman"/>
        </w:rPr>
        <w:t xml:space="preserve"> (2015)</w:t>
      </w:r>
      <w:r w:rsidRPr="001F123C">
        <w:rPr>
          <w:rFonts w:eastAsia="Times New Roman" w:cs="Times New Roman"/>
        </w:rPr>
        <w:t>.</w:t>
      </w:r>
      <w:proofErr w:type="gramEnd"/>
    </w:p>
    <w:p w:rsidR="00982666" w:rsidRPr="001F123C" w:rsidRDefault="00982666" w:rsidP="00172DB8">
      <w:pPr>
        <w:autoSpaceDE w:val="0"/>
        <w:autoSpaceDN w:val="0"/>
        <w:adjustRightInd w:val="0"/>
        <w:spacing w:line="240" w:lineRule="auto"/>
        <w:ind w:left="720" w:hanging="360"/>
        <w:rPr>
          <w:rFonts w:eastAsia="Times New Roman" w:cs="Times New Roman"/>
        </w:rPr>
      </w:pPr>
    </w:p>
    <w:p w:rsidR="00982666" w:rsidRPr="001F123C" w:rsidRDefault="00982666"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The MPCA </w:t>
      </w:r>
      <w:proofErr w:type="gramStart"/>
      <w:r w:rsidRPr="001F123C">
        <w:rPr>
          <w:rFonts w:eastAsia="Times New Roman" w:cs="Times New Roman"/>
        </w:rPr>
        <w:t>is also authorized</w:t>
      </w:r>
      <w:proofErr w:type="gramEnd"/>
      <w:r w:rsidRPr="001F123C">
        <w:rPr>
          <w:rFonts w:eastAsia="Times New Roman" w:cs="Times New Roman"/>
        </w:rPr>
        <w:t xml:space="preserve"> “to investigate the extent, character, and effect of the pollution of the waters of this state and to gather data and information necessary or desirable in the administration or enforcement of pollution laws, and to make such classification of the waters of the state as it may deem advisable.” </w:t>
      </w:r>
      <w:proofErr w:type="gramStart"/>
      <w:r w:rsidRPr="001F123C">
        <w:rPr>
          <w:rFonts w:eastAsia="Times New Roman" w:cs="Times New Roman"/>
        </w:rPr>
        <w:t xml:space="preserve">Minn. Stat. § 115.03, </w:t>
      </w:r>
      <w:proofErr w:type="spellStart"/>
      <w:r w:rsidRPr="001F123C">
        <w:rPr>
          <w:rFonts w:eastAsia="Times New Roman" w:cs="Times New Roman"/>
        </w:rPr>
        <w:t>subd</w:t>
      </w:r>
      <w:proofErr w:type="spellEnd"/>
      <w:r w:rsidRPr="001F123C">
        <w:rPr>
          <w:rFonts w:eastAsia="Times New Roman" w:cs="Times New Roman"/>
        </w:rPr>
        <w:t>.</w:t>
      </w:r>
      <w:proofErr w:type="gramEnd"/>
      <w:r w:rsidRPr="001F123C">
        <w:rPr>
          <w:rFonts w:eastAsia="Times New Roman" w:cs="Times New Roman"/>
        </w:rPr>
        <w:t xml:space="preserve"> </w:t>
      </w:r>
      <w:proofErr w:type="gramStart"/>
      <w:r w:rsidRPr="001F123C">
        <w:rPr>
          <w:rFonts w:eastAsia="Times New Roman" w:cs="Times New Roman"/>
        </w:rPr>
        <w:t>1(b).</w:t>
      </w:r>
      <w:proofErr w:type="gramEnd"/>
    </w:p>
    <w:p w:rsidR="00982666" w:rsidRPr="001F123C" w:rsidRDefault="00982666" w:rsidP="00172DB8">
      <w:pPr>
        <w:autoSpaceDE w:val="0"/>
        <w:autoSpaceDN w:val="0"/>
        <w:adjustRightInd w:val="0"/>
        <w:spacing w:line="240" w:lineRule="auto"/>
        <w:ind w:left="720" w:hanging="360"/>
        <w:rPr>
          <w:rFonts w:eastAsia="Times New Roman" w:cs="Times New Roman"/>
        </w:rPr>
      </w:pPr>
    </w:p>
    <w:p w:rsidR="001A2E9D" w:rsidRPr="001F123C" w:rsidRDefault="001A2E9D"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The MPCA </w:t>
      </w:r>
      <w:proofErr w:type="gramStart"/>
      <w:r w:rsidRPr="001F123C">
        <w:rPr>
          <w:rFonts w:eastAsia="Times New Roman" w:cs="Times New Roman"/>
        </w:rPr>
        <w:t>is authorized</w:t>
      </w:r>
      <w:proofErr w:type="gramEnd"/>
      <w:r w:rsidRPr="001F123C">
        <w:rPr>
          <w:rFonts w:eastAsia="Times New Roman" w:cs="Times New Roman"/>
        </w:rPr>
        <w:t xml:space="preserve"> to develop and approve TMDLs for impaired waters and submit an approved TMDL to EPA for final approval. </w:t>
      </w:r>
      <w:proofErr w:type="gramStart"/>
      <w:r w:rsidRPr="001F123C">
        <w:rPr>
          <w:rFonts w:eastAsia="Times New Roman" w:cs="Times New Roman"/>
        </w:rPr>
        <w:t xml:space="preserve">Minn. Stat. § 114D.25, </w:t>
      </w:r>
      <w:proofErr w:type="spellStart"/>
      <w:r w:rsidRPr="001F123C">
        <w:rPr>
          <w:rFonts w:eastAsia="Times New Roman" w:cs="Times New Roman"/>
        </w:rPr>
        <w:t>subd</w:t>
      </w:r>
      <w:proofErr w:type="spellEnd"/>
      <w:r w:rsidRPr="001F123C">
        <w:rPr>
          <w:rFonts w:eastAsia="Times New Roman" w:cs="Times New Roman"/>
        </w:rPr>
        <w:t>.</w:t>
      </w:r>
      <w:proofErr w:type="gramEnd"/>
      <w:r w:rsidRPr="001F123C">
        <w:rPr>
          <w:rFonts w:eastAsia="Times New Roman" w:cs="Times New Roman"/>
        </w:rPr>
        <w:t xml:space="preserve"> </w:t>
      </w:r>
      <w:proofErr w:type="gramStart"/>
      <w:r w:rsidRPr="001F123C">
        <w:rPr>
          <w:rFonts w:eastAsia="Times New Roman" w:cs="Times New Roman"/>
        </w:rPr>
        <w:t>1(2).</w:t>
      </w:r>
      <w:proofErr w:type="gramEnd"/>
    </w:p>
    <w:p w:rsidR="001A2E9D" w:rsidRPr="001F123C" w:rsidRDefault="001A2E9D" w:rsidP="00172DB8">
      <w:pPr>
        <w:autoSpaceDE w:val="0"/>
        <w:autoSpaceDN w:val="0"/>
        <w:adjustRightInd w:val="0"/>
        <w:spacing w:line="240" w:lineRule="auto"/>
        <w:ind w:left="720" w:hanging="360"/>
        <w:contextualSpacing/>
        <w:rPr>
          <w:rFonts w:eastAsia="Times New Roman" w:cs="Times New Roman"/>
        </w:rPr>
      </w:pPr>
    </w:p>
    <w:p w:rsidR="001A2E9D" w:rsidRPr="001F123C" w:rsidRDefault="001A2E9D"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The approval of a TMDL by MPCA is a final agency decision and is subject to contested case hearing procedures in accordance with agency procedural rules. </w:t>
      </w:r>
      <w:proofErr w:type="gramStart"/>
      <w:r w:rsidRPr="001F123C">
        <w:rPr>
          <w:rFonts w:eastAsia="Times New Roman" w:cs="Times New Roman"/>
        </w:rPr>
        <w:t xml:space="preserve">Minn. Stat. § 114D.25, </w:t>
      </w:r>
      <w:proofErr w:type="spellStart"/>
      <w:r w:rsidRPr="001F123C">
        <w:rPr>
          <w:rFonts w:eastAsia="Times New Roman" w:cs="Times New Roman"/>
        </w:rPr>
        <w:t>subd</w:t>
      </w:r>
      <w:proofErr w:type="spellEnd"/>
      <w:r w:rsidRPr="001F123C">
        <w:rPr>
          <w:rFonts w:eastAsia="Times New Roman" w:cs="Times New Roman"/>
        </w:rPr>
        <w:t>.</w:t>
      </w:r>
      <w:proofErr w:type="gramEnd"/>
      <w:r w:rsidRPr="001F123C">
        <w:rPr>
          <w:rFonts w:eastAsia="Times New Roman" w:cs="Times New Roman"/>
        </w:rPr>
        <w:t xml:space="preserve"> 2. </w:t>
      </w:r>
    </w:p>
    <w:p w:rsidR="001A2E9D" w:rsidRPr="001F123C" w:rsidRDefault="001A2E9D" w:rsidP="00172DB8">
      <w:pPr>
        <w:autoSpaceDE w:val="0"/>
        <w:autoSpaceDN w:val="0"/>
        <w:adjustRightInd w:val="0"/>
        <w:spacing w:line="240" w:lineRule="auto"/>
        <w:ind w:left="720" w:hanging="360"/>
        <w:contextualSpacing/>
        <w:rPr>
          <w:rFonts w:eastAsia="Times New Roman" w:cs="Times New Roman"/>
        </w:rPr>
      </w:pPr>
    </w:p>
    <w:p w:rsidR="001A2E9D" w:rsidRPr="001F123C" w:rsidRDefault="001A2E9D"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The MPCA Commissioner </w:t>
      </w:r>
      <w:proofErr w:type="gramStart"/>
      <w:r w:rsidRPr="001F123C">
        <w:rPr>
          <w:rFonts w:eastAsia="Times New Roman" w:cs="Times New Roman"/>
        </w:rPr>
        <w:t>is authorized</w:t>
      </w:r>
      <w:proofErr w:type="gramEnd"/>
      <w:r w:rsidRPr="001F123C">
        <w:rPr>
          <w:rFonts w:eastAsia="Times New Roman" w:cs="Times New Roman"/>
        </w:rPr>
        <w:t xml:space="preserve"> to decide on behalf of the MPCA whether to grant or deny the Petitioners request for a Contested Case Hearing in this matter. </w:t>
      </w:r>
      <w:proofErr w:type="gramStart"/>
      <w:r w:rsidRPr="001F123C">
        <w:rPr>
          <w:rFonts w:eastAsia="Times New Roman" w:cs="Times New Roman"/>
        </w:rPr>
        <w:t xml:space="preserve">Minn. Stat. § 116.03, </w:t>
      </w:r>
      <w:proofErr w:type="spellStart"/>
      <w:r w:rsidRPr="001F123C">
        <w:rPr>
          <w:rFonts w:eastAsia="Times New Roman" w:cs="Times New Roman"/>
        </w:rPr>
        <w:t>subd</w:t>
      </w:r>
      <w:proofErr w:type="spellEnd"/>
      <w:r w:rsidRPr="001F123C">
        <w:rPr>
          <w:rFonts w:eastAsia="Times New Roman" w:cs="Times New Roman"/>
        </w:rPr>
        <w:t>.</w:t>
      </w:r>
      <w:proofErr w:type="gramEnd"/>
      <w:r w:rsidRPr="001F123C">
        <w:rPr>
          <w:rFonts w:eastAsia="Times New Roman" w:cs="Times New Roman"/>
        </w:rPr>
        <w:t xml:space="preserve"> </w:t>
      </w:r>
      <w:proofErr w:type="gramStart"/>
      <w:r w:rsidRPr="001F123C">
        <w:rPr>
          <w:rFonts w:eastAsia="Times New Roman" w:cs="Times New Roman"/>
        </w:rPr>
        <w:t>1(c).</w:t>
      </w:r>
      <w:proofErr w:type="gramEnd"/>
    </w:p>
    <w:p w:rsidR="001F123C" w:rsidRDefault="001F123C" w:rsidP="00172DB8">
      <w:pPr>
        <w:spacing w:line="240" w:lineRule="auto"/>
        <w:rPr>
          <w:rFonts w:eastAsia="Times New Roman" w:cs="Times New Roman"/>
          <w:b/>
          <w:bCs/>
          <w:i/>
          <w:iCs/>
        </w:rPr>
      </w:pPr>
      <w:r>
        <w:rPr>
          <w:rFonts w:eastAsia="Times New Roman" w:cs="Times New Roman"/>
          <w:b/>
          <w:bCs/>
          <w:i/>
          <w:iCs/>
        </w:rPr>
        <w:br w:type="page"/>
      </w:r>
    </w:p>
    <w:p w:rsidR="00982666" w:rsidRPr="001F123C" w:rsidRDefault="00982666" w:rsidP="00172DB8">
      <w:pPr>
        <w:numPr>
          <w:ilvl w:val="0"/>
          <w:numId w:val="6"/>
        </w:numPr>
        <w:autoSpaceDE w:val="0"/>
        <w:autoSpaceDN w:val="0"/>
        <w:adjustRightInd w:val="0"/>
        <w:spacing w:line="240" w:lineRule="auto"/>
        <w:contextualSpacing/>
        <w:rPr>
          <w:rFonts w:eastAsia="Times New Roman" w:cs="Times New Roman"/>
          <w:b/>
          <w:bCs/>
          <w:i/>
        </w:rPr>
      </w:pPr>
      <w:r w:rsidRPr="001F123C">
        <w:rPr>
          <w:rFonts w:eastAsia="Times New Roman" w:cs="Times New Roman"/>
          <w:b/>
          <w:bCs/>
          <w:i/>
          <w:iCs/>
        </w:rPr>
        <w:lastRenderedPageBreak/>
        <w:t>Background/</w:t>
      </w:r>
      <w:r w:rsidRPr="001F123C">
        <w:rPr>
          <w:rFonts w:eastAsia="Times New Roman" w:cs="Times New Roman"/>
          <w:b/>
          <w:bCs/>
        </w:rPr>
        <w:t xml:space="preserve"> </w:t>
      </w:r>
      <w:r w:rsidRPr="001F123C">
        <w:rPr>
          <w:rFonts w:eastAsia="Times New Roman" w:cs="Times New Roman"/>
          <w:b/>
          <w:bCs/>
          <w:i/>
        </w:rPr>
        <w:t>Overview of TMDL Process</w:t>
      </w:r>
    </w:p>
    <w:p w:rsidR="00982666" w:rsidRDefault="00982666" w:rsidP="00172DB8">
      <w:pPr>
        <w:autoSpaceDE w:val="0"/>
        <w:autoSpaceDN w:val="0"/>
        <w:adjustRightInd w:val="0"/>
        <w:spacing w:line="240" w:lineRule="auto"/>
        <w:rPr>
          <w:rFonts w:eastAsia="Times New Roman" w:cs="Times New Roman"/>
        </w:rPr>
      </w:pPr>
    </w:p>
    <w:p w:rsidR="00BF1279" w:rsidRPr="001F123C" w:rsidRDefault="00BF1279" w:rsidP="00172DB8">
      <w:pPr>
        <w:autoSpaceDE w:val="0"/>
        <w:autoSpaceDN w:val="0"/>
        <w:adjustRightInd w:val="0"/>
        <w:spacing w:line="240" w:lineRule="auto"/>
        <w:ind w:firstLine="360"/>
        <w:rPr>
          <w:rFonts w:eastAsia="Times New Roman" w:cs="Times New Roman"/>
          <w:b/>
        </w:rPr>
      </w:pPr>
      <w:r w:rsidRPr="001F123C">
        <w:rPr>
          <w:rFonts w:eastAsia="Times New Roman" w:cs="Times New Roman"/>
          <w:b/>
        </w:rPr>
        <w:t>Clean Water Act goal and water quality standards</w:t>
      </w:r>
    </w:p>
    <w:p w:rsidR="00A0324A" w:rsidRPr="001F123C" w:rsidRDefault="00A0324A" w:rsidP="00172DB8">
      <w:pPr>
        <w:autoSpaceDE w:val="0"/>
        <w:autoSpaceDN w:val="0"/>
        <w:adjustRightInd w:val="0"/>
        <w:spacing w:line="240" w:lineRule="auto"/>
        <w:rPr>
          <w:b/>
          <w:i/>
        </w:rPr>
      </w:pPr>
      <w:r w:rsidRPr="001F123C">
        <w:rPr>
          <w:rFonts w:eastAsia="Times New Roman" w:cs="Times New Roman"/>
          <w:b/>
        </w:rPr>
        <w:tab/>
      </w:r>
    </w:p>
    <w:p w:rsidR="00A0324A" w:rsidRPr="001F123C" w:rsidRDefault="00A0324A" w:rsidP="00172DB8">
      <w:pPr>
        <w:pStyle w:val="ListParagraph"/>
        <w:numPr>
          <w:ilvl w:val="0"/>
          <w:numId w:val="1"/>
        </w:numPr>
        <w:tabs>
          <w:tab w:val="left" w:pos="720"/>
        </w:tabs>
        <w:autoSpaceDE w:val="0"/>
        <w:autoSpaceDN w:val="0"/>
        <w:adjustRightInd w:val="0"/>
        <w:spacing w:line="240" w:lineRule="auto"/>
        <w:ind w:left="720" w:hanging="360"/>
        <w:rPr>
          <w:i/>
        </w:rPr>
      </w:pPr>
      <w:r w:rsidRPr="001F123C">
        <w:t xml:space="preserve">The Clean Water Act (CWA) seeks to “restore and maintain the chemical, physical, and biological integrity of the Nation’s waters” through the elimination of discharge of pollutants into navigable waters. </w:t>
      </w:r>
      <w:proofErr w:type="gramStart"/>
      <w:r w:rsidRPr="001F123C">
        <w:t>33</w:t>
      </w:r>
      <w:proofErr w:type="gramEnd"/>
      <w:r w:rsidRPr="001F123C">
        <w:t xml:space="preserve"> U.S.C. § 1251(a). </w:t>
      </w:r>
    </w:p>
    <w:p w:rsidR="00A0324A" w:rsidRPr="001F123C" w:rsidRDefault="00A0324A" w:rsidP="00172DB8">
      <w:pPr>
        <w:pStyle w:val="ListParagraph"/>
        <w:tabs>
          <w:tab w:val="left" w:pos="720"/>
        </w:tabs>
        <w:autoSpaceDE w:val="0"/>
        <w:autoSpaceDN w:val="0"/>
        <w:adjustRightInd w:val="0"/>
        <w:spacing w:line="240" w:lineRule="auto"/>
        <w:ind w:hanging="360"/>
        <w:rPr>
          <w:i/>
        </w:rPr>
      </w:pPr>
    </w:p>
    <w:p w:rsidR="00A0324A" w:rsidRPr="001F123C" w:rsidRDefault="00A0324A" w:rsidP="00172DB8">
      <w:pPr>
        <w:pStyle w:val="ListParagraph"/>
        <w:numPr>
          <w:ilvl w:val="0"/>
          <w:numId w:val="1"/>
        </w:numPr>
        <w:tabs>
          <w:tab w:val="left" w:pos="720"/>
        </w:tabs>
        <w:autoSpaceDE w:val="0"/>
        <w:autoSpaceDN w:val="0"/>
        <w:adjustRightInd w:val="0"/>
        <w:spacing w:line="240" w:lineRule="auto"/>
        <w:ind w:left="720" w:hanging="360"/>
        <w:rPr>
          <w:i/>
        </w:rPr>
      </w:pPr>
      <w:r w:rsidRPr="001F123C">
        <w:t xml:space="preserve">The CWA requires states to establish water quality standards to protect designated beneficial uses for water bodies. </w:t>
      </w:r>
      <w:proofErr w:type="gramStart"/>
      <w:r w:rsidRPr="001F123C">
        <w:t>33</w:t>
      </w:r>
      <w:proofErr w:type="gramEnd"/>
      <w:r w:rsidRPr="001F123C">
        <w:t xml:space="preserve"> U.S.C. § 1313 (a)-(c). Minnesota water quality standards </w:t>
      </w:r>
      <w:proofErr w:type="gramStart"/>
      <w:r w:rsidRPr="001F123C">
        <w:t>are established</w:t>
      </w:r>
      <w:proofErr w:type="gramEnd"/>
      <w:r w:rsidRPr="001F123C">
        <w:t xml:space="preserve"> in Minn. R. </w:t>
      </w:r>
      <w:proofErr w:type="spellStart"/>
      <w:r w:rsidRPr="001F123C">
        <w:t>ch.</w:t>
      </w:r>
      <w:proofErr w:type="spellEnd"/>
      <w:r w:rsidRPr="001F123C">
        <w:t xml:space="preserve"> 7050</w:t>
      </w:r>
      <w:r w:rsidR="009B610F">
        <w:t xml:space="preserve"> (2015)</w:t>
      </w:r>
      <w:r w:rsidRPr="001F123C">
        <w:t>.</w:t>
      </w:r>
    </w:p>
    <w:p w:rsidR="00A0324A" w:rsidRPr="001F123C" w:rsidRDefault="00A0324A" w:rsidP="00172DB8">
      <w:pPr>
        <w:autoSpaceDE w:val="0"/>
        <w:autoSpaceDN w:val="0"/>
        <w:adjustRightInd w:val="0"/>
        <w:spacing w:line="240" w:lineRule="auto"/>
        <w:ind w:left="720"/>
        <w:contextualSpacing/>
        <w:rPr>
          <w:rFonts w:eastAsia="Times New Roman" w:cs="Times New Roman"/>
          <w:i/>
        </w:rPr>
      </w:pPr>
    </w:p>
    <w:p w:rsidR="00562DED" w:rsidRPr="007359B3" w:rsidRDefault="00562DED" w:rsidP="00172DB8">
      <w:pPr>
        <w:autoSpaceDE w:val="0"/>
        <w:autoSpaceDN w:val="0"/>
        <w:adjustRightInd w:val="0"/>
        <w:spacing w:line="240" w:lineRule="auto"/>
        <w:ind w:left="360"/>
        <w:rPr>
          <w:b/>
          <w:i/>
        </w:rPr>
      </w:pPr>
      <w:r w:rsidRPr="007359B3">
        <w:rPr>
          <w:b/>
          <w:i/>
        </w:rPr>
        <w:t xml:space="preserve">To meet the goal and meet established water quality standards, the CWA requires </w:t>
      </w:r>
      <w:r>
        <w:rPr>
          <w:b/>
          <w:i/>
        </w:rPr>
        <w:t xml:space="preserve">encouragement of </w:t>
      </w:r>
      <w:r w:rsidRPr="007359B3">
        <w:rPr>
          <w:b/>
          <w:i/>
        </w:rPr>
        <w:t>best practices controls for nonpoint sources of pollution and permit-based controls for point sources of pollution</w:t>
      </w:r>
    </w:p>
    <w:p w:rsidR="00BF1279" w:rsidRPr="001F123C" w:rsidRDefault="00BF1279" w:rsidP="00172DB8">
      <w:pPr>
        <w:autoSpaceDE w:val="0"/>
        <w:autoSpaceDN w:val="0"/>
        <w:adjustRightInd w:val="0"/>
        <w:spacing w:line="240" w:lineRule="auto"/>
        <w:ind w:left="720"/>
        <w:rPr>
          <w:b/>
          <w:i/>
        </w:rPr>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The CWA focuses on two possible sources of pollution: point sources and nonpoint sources. 33 U.S.C. § 1251(a</w:t>
      </w:r>
      <w:proofErr w:type="gramStart"/>
      <w:r w:rsidRPr="001F123C">
        <w:t>)(</w:t>
      </w:r>
      <w:proofErr w:type="gramEnd"/>
      <w:r w:rsidRPr="001F123C">
        <w:t>7)</w:t>
      </w:r>
      <w:r w:rsidR="00CF0124">
        <w:t xml:space="preserve">; 40 C.F.R </w:t>
      </w:r>
      <w:r w:rsidR="00CF0124" w:rsidRPr="007359B3">
        <w:t xml:space="preserve">. </w:t>
      </w:r>
      <w:proofErr w:type="gramStart"/>
      <w:r w:rsidR="00CF0124" w:rsidRPr="007359B3">
        <w:t xml:space="preserve">§ </w:t>
      </w:r>
      <w:r w:rsidR="00CF0124">
        <w:t>130.</w:t>
      </w:r>
      <w:proofErr w:type="gramEnd"/>
      <w:r w:rsidRPr="001F123C">
        <w:t xml:space="preserve"> Point sources are “any discernible, confined, and discrete conveyance,” including pipes, ditches, conduits or vessels “from which pollutants are or may be discharged.” </w:t>
      </w:r>
      <w:proofErr w:type="gramStart"/>
      <w:r w:rsidRPr="001F123C">
        <w:t>33</w:t>
      </w:r>
      <w:proofErr w:type="gramEnd"/>
      <w:r w:rsidRPr="001F123C">
        <w:t xml:space="preserve"> U.S.C. § 1362(14). Nonpoint sources include any non-discrete source that does not meet the 33 U.S.C. § 1362(14) definition of “point source,” such as runoff from agriculture, </w:t>
      </w:r>
      <w:proofErr w:type="spellStart"/>
      <w:r w:rsidRPr="001F123C">
        <w:t>silviculture</w:t>
      </w:r>
      <w:proofErr w:type="spellEnd"/>
      <w:r w:rsidRPr="001F123C">
        <w:t xml:space="preserve">, </w:t>
      </w:r>
      <w:r w:rsidR="00E4708B">
        <w:t xml:space="preserve">forestry </w:t>
      </w:r>
      <w:r w:rsidRPr="001F123C">
        <w:t>or construction activities.</w:t>
      </w:r>
    </w:p>
    <w:p w:rsidR="00BF1279" w:rsidRPr="001F123C" w:rsidRDefault="00BF1279" w:rsidP="00172DB8">
      <w:pPr>
        <w:pStyle w:val="ListParagraph"/>
        <w:spacing w:line="240" w:lineRule="auto"/>
        <w:ind w:hanging="360"/>
      </w:pPr>
    </w:p>
    <w:p w:rsidR="00BF1279" w:rsidRPr="001F123C" w:rsidRDefault="00BF1279" w:rsidP="00172DB8">
      <w:pPr>
        <w:pStyle w:val="ListParagraph"/>
        <w:numPr>
          <w:ilvl w:val="0"/>
          <w:numId w:val="1"/>
        </w:numPr>
        <w:spacing w:line="240" w:lineRule="auto"/>
        <w:ind w:left="720" w:hanging="360"/>
      </w:pPr>
      <w:r w:rsidRPr="001F123C">
        <w:t xml:space="preserve">Pollution from nonpoint sources </w:t>
      </w:r>
      <w:proofErr w:type="gramStart"/>
      <w:r w:rsidRPr="001F123C">
        <w:t>is controlled</w:t>
      </w:r>
      <w:proofErr w:type="gramEnd"/>
      <w:r w:rsidRPr="001F123C">
        <w:t xml:space="preserve"> by best management practices. </w:t>
      </w:r>
      <w:proofErr w:type="gramStart"/>
      <w:r w:rsidRPr="001F123C">
        <w:t>40</w:t>
      </w:r>
      <w:proofErr w:type="gramEnd"/>
      <w:r w:rsidRPr="001F123C">
        <w:t xml:space="preserve"> C.F.R. § 130.0 (d). Nonpoint sources </w:t>
      </w:r>
      <w:proofErr w:type="gramStart"/>
      <w:r w:rsidRPr="001F123C">
        <w:t>are not regulated</w:t>
      </w:r>
      <w:proofErr w:type="gramEnd"/>
      <w:r w:rsidRPr="001F123C">
        <w:t xml:space="preserve"> by permits due to the difficulty involved in tracing pollution to a particular point, measuring it and setting an acceptable level for that point. </w:t>
      </w:r>
      <w:proofErr w:type="gramStart"/>
      <w:r w:rsidRPr="001F123C">
        <w:rPr>
          <w:i/>
          <w:u w:val="single"/>
        </w:rPr>
        <w:t xml:space="preserve">Sierra Club v. </w:t>
      </w:r>
      <w:proofErr w:type="spellStart"/>
      <w:r w:rsidRPr="001F123C">
        <w:rPr>
          <w:i/>
          <w:u w:val="single"/>
        </w:rPr>
        <w:t>Meiburg</w:t>
      </w:r>
      <w:proofErr w:type="spellEnd"/>
      <w:r w:rsidRPr="001F123C">
        <w:t>, 296 F.3d 1021, 1025 (11</w:t>
      </w:r>
      <w:r w:rsidRPr="001F123C">
        <w:rPr>
          <w:vertAlign w:val="superscript"/>
        </w:rPr>
        <w:t>th</w:t>
      </w:r>
      <w:r w:rsidRPr="001F123C">
        <w:t xml:space="preserve"> Cir. 2002).</w:t>
      </w:r>
      <w:proofErr w:type="gramEnd"/>
      <w:r w:rsidRPr="001F123C">
        <w:t xml:space="preserve"> </w:t>
      </w:r>
    </w:p>
    <w:p w:rsidR="00BF1279" w:rsidRPr="001F123C" w:rsidRDefault="00BF1279" w:rsidP="00172DB8">
      <w:pPr>
        <w:spacing w:line="240" w:lineRule="auto"/>
        <w:ind w:left="720" w:hanging="360"/>
      </w:pPr>
    </w:p>
    <w:p w:rsidR="00485A22" w:rsidRPr="00485A22" w:rsidRDefault="00BF1279" w:rsidP="00172DB8">
      <w:pPr>
        <w:pStyle w:val="ListParagraph"/>
        <w:numPr>
          <w:ilvl w:val="0"/>
          <w:numId w:val="1"/>
        </w:numPr>
        <w:autoSpaceDE w:val="0"/>
        <w:autoSpaceDN w:val="0"/>
        <w:adjustRightInd w:val="0"/>
        <w:spacing w:line="240" w:lineRule="auto"/>
        <w:ind w:left="720" w:hanging="360"/>
        <w:rPr>
          <w:i/>
        </w:rPr>
      </w:pPr>
      <w:r w:rsidRPr="001F123C">
        <w:t xml:space="preserve">For control of pollution from point sources, the CWA includes two types of permit-based pollution control requirements: technology-based effluent limits (TBELs) (40 C.F.R. § 125); and water quality-based effluent limits (WQBELs) (40 C.F.R. § 130). </w:t>
      </w:r>
      <w:r w:rsidR="00485A22" w:rsidRPr="00485A22">
        <w:rPr>
          <w:i/>
        </w:rPr>
        <w:t xml:space="preserve">See </w:t>
      </w:r>
      <w:r w:rsidR="00485A22" w:rsidRPr="00485A22">
        <w:t>33</w:t>
      </w:r>
      <w:r w:rsidR="00485A22">
        <w:rPr>
          <w:i/>
        </w:rPr>
        <w:t xml:space="preserve"> </w:t>
      </w:r>
      <w:r w:rsidR="00485A22" w:rsidRPr="00485A22">
        <w:t>U.S.C. §§ 1311(b</w:t>
      </w:r>
      <w:proofErr w:type="gramStart"/>
      <w:r w:rsidR="00485A22" w:rsidRPr="00485A22">
        <w:t>)(</w:t>
      </w:r>
      <w:proofErr w:type="gramEnd"/>
      <w:r w:rsidR="00485A22" w:rsidRPr="00485A22">
        <w:t>1)(</w:t>
      </w:r>
      <w:r w:rsidR="00485A22">
        <w:t>C</w:t>
      </w:r>
      <w:r w:rsidR="00485A22" w:rsidRPr="00485A22">
        <w:t>) and (b)(2)(</w:t>
      </w:r>
      <w:r w:rsidR="00485A22">
        <w:t>A</w:t>
      </w:r>
      <w:r w:rsidR="00485A22" w:rsidRPr="00485A22">
        <w:t>), 1313, 1342(a).</w:t>
      </w:r>
    </w:p>
    <w:p w:rsidR="00BF1279" w:rsidRPr="001F123C" w:rsidRDefault="00BF1279" w:rsidP="00172DB8">
      <w:pPr>
        <w:pStyle w:val="ListParagraph"/>
        <w:spacing w:line="240" w:lineRule="auto"/>
        <w:ind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rPr>
          <w:i/>
        </w:rPr>
      </w:pPr>
      <w:r w:rsidRPr="001F123C">
        <w:t xml:space="preserve">TBELs are minimum pollution control requirements that must be met regardless of the potential impact a discharge may have on </w:t>
      </w:r>
      <w:proofErr w:type="gramStart"/>
      <w:r w:rsidRPr="001F123C">
        <w:t>a receiving</w:t>
      </w:r>
      <w:proofErr w:type="gramEnd"/>
      <w:r w:rsidRPr="001F123C">
        <w:t xml:space="preserve"> water. </w:t>
      </w:r>
      <w:proofErr w:type="gramStart"/>
      <w:r w:rsidRPr="001F123C">
        <w:t>40</w:t>
      </w:r>
      <w:proofErr w:type="gramEnd"/>
      <w:r w:rsidRPr="001F123C">
        <w:t xml:space="preserve"> C.F.R. § 125.3(a). TBELs are discharge limitations based on the capabilities of an industry or class of dischargers to treat influent by using pollution control technology. </w:t>
      </w:r>
      <w:proofErr w:type="gramStart"/>
      <w:r w:rsidRPr="001F123C">
        <w:t>33</w:t>
      </w:r>
      <w:proofErr w:type="gramEnd"/>
      <w:r w:rsidRPr="001F123C">
        <w:t xml:space="preserve"> U.S.C. § 1311. TBELs consider technological feasibility and cost and specify the quality of effluent a discharger may release to surface waters.</w:t>
      </w:r>
      <w:r w:rsidRPr="001F123C">
        <w:rPr>
          <w:i/>
        </w:rPr>
        <w:t xml:space="preserve"> Id.</w:t>
      </w:r>
    </w:p>
    <w:p w:rsidR="00BF1279" w:rsidRPr="001F123C" w:rsidRDefault="00BF1279" w:rsidP="00172DB8">
      <w:pPr>
        <w:pStyle w:val="ListParagraph"/>
        <w:spacing w:line="240" w:lineRule="auto"/>
        <w:ind w:hanging="360"/>
      </w:pPr>
    </w:p>
    <w:p w:rsidR="00681890" w:rsidRPr="00706168" w:rsidRDefault="00BF1279" w:rsidP="00172DB8">
      <w:pPr>
        <w:pStyle w:val="ListParagraph"/>
        <w:numPr>
          <w:ilvl w:val="0"/>
          <w:numId w:val="1"/>
        </w:numPr>
        <w:autoSpaceDE w:val="0"/>
        <w:autoSpaceDN w:val="0"/>
        <w:adjustRightInd w:val="0"/>
        <w:spacing w:line="240" w:lineRule="auto"/>
        <w:ind w:left="720" w:hanging="360"/>
      </w:pPr>
      <w:r w:rsidRPr="001F123C">
        <w:t xml:space="preserve">If TBELs are not sufficient to ensure attainment of water quality standards in the receiving water, WQBELs </w:t>
      </w:r>
      <w:proofErr w:type="gramStart"/>
      <w:r w:rsidRPr="001F123C">
        <w:t>must be used</w:t>
      </w:r>
      <w:proofErr w:type="gramEnd"/>
      <w:r w:rsidRPr="001F123C">
        <w:t xml:space="preserve">. WQBELs consider the impact a discharge will have on the receiving water. </w:t>
      </w:r>
      <w:proofErr w:type="gramStart"/>
      <w:r w:rsidRPr="001F123C">
        <w:t>40</w:t>
      </w:r>
      <w:proofErr w:type="gramEnd"/>
      <w:r w:rsidRPr="001F123C">
        <w:t xml:space="preserve"> C.F. R. § 130.7. When WQBELs are developed, technical feasibility and economic reasonableness are not factors considered. </w:t>
      </w:r>
      <w:r w:rsidRPr="00221DAB">
        <w:rPr>
          <w:i/>
        </w:rPr>
        <w:t>Id.</w:t>
      </w:r>
    </w:p>
    <w:p w:rsidR="00706168" w:rsidRDefault="00706168" w:rsidP="00706168">
      <w:pPr>
        <w:autoSpaceDE w:val="0"/>
        <w:autoSpaceDN w:val="0"/>
        <w:adjustRightInd w:val="0"/>
        <w:spacing w:line="240" w:lineRule="auto"/>
      </w:pPr>
    </w:p>
    <w:p w:rsidR="00460F1C" w:rsidRDefault="00BF1279" w:rsidP="00460F1C">
      <w:pPr>
        <w:pStyle w:val="ListParagraph"/>
        <w:numPr>
          <w:ilvl w:val="0"/>
          <w:numId w:val="1"/>
        </w:numPr>
        <w:tabs>
          <w:tab w:val="left" w:pos="1080"/>
        </w:tabs>
        <w:autoSpaceDE w:val="0"/>
        <w:autoSpaceDN w:val="0"/>
        <w:adjustRightInd w:val="0"/>
        <w:spacing w:line="240" w:lineRule="auto"/>
        <w:ind w:left="720" w:hanging="360"/>
      </w:pPr>
      <w:r w:rsidRPr="001F123C">
        <w:t xml:space="preserve">Both TBELs and WQBELs for point sources </w:t>
      </w:r>
      <w:proofErr w:type="gramStart"/>
      <w:r w:rsidRPr="001F123C">
        <w:t>are imposed</w:t>
      </w:r>
      <w:proofErr w:type="gramEnd"/>
      <w:r w:rsidRPr="001F123C">
        <w:t xml:space="preserve"> on point source dischargers through the National Pollution Discharge Elimination System (NPDES) permit process. </w:t>
      </w:r>
      <w:proofErr w:type="gramStart"/>
      <w:r w:rsidRPr="001F123C">
        <w:t>40</w:t>
      </w:r>
      <w:proofErr w:type="gramEnd"/>
      <w:r w:rsidRPr="001F123C">
        <w:t xml:space="preserve"> C.F.R. § 125. The NPDES permit process sets quantitative limits on the amount of pollutants released from a point source.</w:t>
      </w:r>
      <w:r w:rsidR="00723E24">
        <w:t xml:space="preserve"> </w:t>
      </w:r>
      <w:r w:rsidR="00723E24" w:rsidRPr="00460F1C">
        <w:rPr>
          <w:i/>
        </w:rPr>
        <w:t>See</w:t>
      </w:r>
      <w:r w:rsidRPr="001F123C">
        <w:t xml:space="preserve"> 33 U.S.C. § 1342. </w:t>
      </w:r>
      <w:r w:rsidR="00460F1C">
        <w:br w:type="page"/>
      </w:r>
    </w:p>
    <w:p w:rsidR="00BF1279" w:rsidRPr="001F123C" w:rsidRDefault="00BF1279" w:rsidP="00172DB8">
      <w:pPr>
        <w:pStyle w:val="ListParagraph"/>
        <w:numPr>
          <w:ilvl w:val="0"/>
          <w:numId w:val="1"/>
        </w:numPr>
        <w:tabs>
          <w:tab w:val="left" w:pos="1080"/>
        </w:tabs>
        <w:autoSpaceDE w:val="0"/>
        <w:autoSpaceDN w:val="0"/>
        <w:adjustRightInd w:val="0"/>
        <w:spacing w:line="240" w:lineRule="auto"/>
        <w:ind w:left="720" w:hanging="360"/>
      </w:pPr>
      <w:r w:rsidRPr="001F123C">
        <w:lastRenderedPageBreak/>
        <w:t xml:space="preserve">Pursuant to 33 U.S.C. §1342(b), the EPA delegated its duties to establish and operate its NPDES permit programming authority to the State of Minnesota, which operates the program through the MPCA. </w:t>
      </w:r>
      <w:proofErr w:type="gramStart"/>
      <w:r w:rsidRPr="001F123C">
        <w:t xml:space="preserve">Minn. Stat. § 115.03, </w:t>
      </w:r>
      <w:proofErr w:type="spellStart"/>
      <w:r w:rsidRPr="001F123C">
        <w:t>subd</w:t>
      </w:r>
      <w:proofErr w:type="spellEnd"/>
      <w:r w:rsidRPr="001F123C">
        <w:t>.</w:t>
      </w:r>
      <w:proofErr w:type="gramEnd"/>
      <w:r w:rsidRPr="001F123C">
        <w:t xml:space="preserve"> 5.</w:t>
      </w:r>
    </w:p>
    <w:p w:rsidR="00BF1279" w:rsidRPr="001F123C" w:rsidRDefault="00BF1279" w:rsidP="00172DB8">
      <w:pPr>
        <w:autoSpaceDE w:val="0"/>
        <w:autoSpaceDN w:val="0"/>
        <w:adjustRightInd w:val="0"/>
        <w:spacing w:line="240" w:lineRule="auto"/>
        <w:ind w:left="720" w:hanging="571"/>
      </w:pPr>
    </w:p>
    <w:p w:rsidR="00BF1279" w:rsidRPr="001F123C" w:rsidRDefault="00BF1279" w:rsidP="00172DB8">
      <w:pPr>
        <w:autoSpaceDE w:val="0"/>
        <w:autoSpaceDN w:val="0"/>
        <w:adjustRightInd w:val="0"/>
        <w:spacing w:line="240" w:lineRule="auto"/>
        <w:ind w:left="360"/>
        <w:rPr>
          <w:b/>
          <w:i/>
        </w:rPr>
      </w:pPr>
      <w:r w:rsidRPr="001F123C">
        <w:rPr>
          <w:b/>
          <w:i/>
        </w:rPr>
        <w:t>To improve waters that do not meet water quality standards the CWA establishes the TMDL program for impaired waters</w:t>
      </w:r>
    </w:p>
    <w:p w:rsidR="00BF1279" w:rsidRPr="001F123C" w:rsidRDefault="00BF1279" w:rsidP="00172DB8">
      <w:pPr>
        <w:autoSpaceDE w:val="0"/>
        <w:autoSpaceDN w:val="0"/>
        <w:adjustRightInd w:val="0"/>
        <w:spacing w:line="240" w:lineRule="auto"/>
        <w:ind w:left="720" w:hanging="571"/>
        <w:rPr>
          <w:b/>
          <w:i/>
        </w:rPr>
      </w:pPr>
    </w:p>
    <w:p w:rsidR="00F25148" w:rsidRPr="00F25148" w:rsidRDefault="00E62260" w:rsidP="00172DB8">
      <w:pPr>
        <w:pStyle w:val="ListParagraph"/>
        <w:numPr>
          <w:ilvl w:val="0"/>
          <w:numId w:val="1"/>
        </w:numPr>
        <w:autoSpaceDE w:val="0"/>
        <w:autoSpaceDN w:val="0"/>
        <w:adjustRightInd w:val="0"/>
        <w:spacing w:line="240" w:lineRule="auto"/>
        <w:ind w:left="720" w:hanging="360"/>
      </w:pPr>
      <w:r w:rsidRPr="007359B3">
        <w:t>Section 303(d) of the CWA establishes the TMDL program, a water-quality based approach to regulating waters that fail to meet water quality standards despite the application of effluent limits and other pollution control requirements. 33 U.S.C. § 1313(d</w:t>
      </w:r>
      <w:proofErr w:type="gramStart"/>
      <w:r w:rsidRPr="007359B3">
        <w:t>)</w:t>
      </w:r>
      <w:r w:rsidR="009E3BB0">
        <w:t>(</w:t>
      </w:r>
      <w:proofErr w:type="gramEnd"/>
      <w:r w:rsidR="009E3BB0">
        <w:t>1)(A)-</w:t>
      </w:r>
      <w:r>
        <w:t>(C)</w:t>
      </w:r>
      <w:r w:rsidRPr="007359B3">
        <w:t xml:space="preserve">. A TMDL expresses the maximum amount of a particular pollutant that can pass through a water body each day without violating water quality standards (i.e. the receiving </w:t>
      </w:r>
      <w:proofErr w:type="gramStart"/>
      <w:r w:rsidRPr="007359B3">
        <w:t>water’s</w:t>
      </w:r>
      <w:proofErr w:type="gramEnd"/>
      <w:r w:rsidRPr="007359B3">
        <w:t xml:space="preserve"> loading capacity). </w:t>
      </w:r>
      <w:r w:rsidRPr="007359B3">
        <w:rPr>
          <w:i/>
        </w:rPr>
        <w:t>Id.</w:t>
      </w:r>
      <w:r w:rsidRPr="007359B3">
        <w:t xml:space="preserve"> TMDLs are water-quality based controls used to supplement technology-based controls where necessary</w:t>
      </w:r>
      <w:r w:rsidRPr="00CE731C">
        <w:t xml:space="preserve">. </w:t>
      </w:r>
      <w:r w:rsidR="009E3BB0">
        <w:t>33 USC § 1313(d</w:t>
      </w:r>
      <w:proofErr w:type="gramStart"/>
      <w:r w:rsidR="009E3BB0">
        <w:t>)(</w:t>
      </w:r>
      <w:proofErr w:type="gramEnd"/>
      <w:r w:rsidR="009E3BB0">
        <w:t>1)(C) and</w:t>
      </w:r>
      <w:r w:rsidRPr="00CE731C">
        <w:t>(D).</w:t>
      </w:r>
    </w:p>
    <w:p w:rsidR="00F25148" w:rsidRPr="001F123C" w:rsidRDefault="00F25148" w:rsidP="00172DB8">
      <w:pPr>
        <w:pStyle w:val="ListParagraph"/>
        <w:autoSpaceDE w:val="0"/>
        <w:autoSpaceDN w:val="0"/>
        <w:adjustRightInd w:val="0"/>
        <w:spacing w:line="240" w:lineRule="auto"/>
        <w:ind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Section 303(d)(1) of the CWA requires each state to provide EPA a list of all waters within the state boundaries that fail to meet applicable water quality standards despite the application of effluent limits and other pollution control requirements to those waters. 33 U.S.C. § 1313(d</w:t>
      </w:r>
      <w:proofErr w:type="gramStart"/>
      <w:r w:rsidRPr="001F123C">
        <w:t>)(</w:t>
      </w:r>
      <w:proofErr w:type="gramEnd"/>
      <w:r w:rsidRPr="001F123C">
        <w:t>1)(A)</w:t>
      </w:r>
      <w:r w:rsidR="00D0410E">
        <w:t>-</w:t>
      </w:r>
      <w:r w:rsidRPr="001F123C">
        <w:t xml:space="preserve">(B). This list </w:t>
      </w:r>
      <w:proofErr w:type="gramStart"/>
      <w:r w:rsidRPr="001F123C">
        <w:t>is known</w:t>
      </w:r>
      <w:proofErr w:type="gramEnd"/>
      <w:r w:rsidRPr="001F123C">
        <w:t xml:space="preserve"> as the </w:t>
      </w:r>
      <w:r w:rsidR="00E318D8">
        <w:t xml:space="preserve">“impaired waters list” or the </w:t>
      </w:r>
      <w:r w:rsidRPr="001F123C">
        <w:t>“303(d) list.”</w:t>
      </w:r>
    </w:p>
    <w:p w:rsidR="00BF1279" w:rsidRPr="001F123C" w:rsidRDefault="00BF1279" w:rsidP="00172DB8">
      <w:pPr>
        <w:pStyle w:val="ListParagraph"/>
        <w:spacing w:line="240" w:lineRule="auto"/>
        <w:ind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 xml:space="preserve">Each body of water where it is known that water quality does not meet applicable water quality standards, or is not expected to meet applicable water quality standards, even after the application of required TBELs is known as a “water quality limited segment” (WQLS). </w:t>
      </w:r>
      <w:proofErr w:type="gramStart"/>
      <w:r w:rsidRPr="001F123C">
        <w:t>40</w:t>
      </w:r>
      <w:proofErr w:type="gramEnd"/>
      <w:r w:rsidRPr="001F123C">
        <w:t xml:space="preserve"> C.F.R. § 130.2(j). </w:t>
      </w:r>
    </w:p>
    <w:p w:rsidR="00BF1279" w:rsidRPr="001F123C" w:rsidRDefault="00BF1279" w:rsidP="00172DB8">
      <w:pPr>
        <w:pStyle w:val="ListParagraph"/>
        <w:spacing w:line="240" w:lineRule="auto"/>
        <w:ind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Minnesota must set a TMDL in each WQLS for every pollutant that is preventing or impeding compliance with applicable water quality standards. 33 U.S.C. § 1313(d</w:t>
      </w:r>
      <w:proofErr w:type="gramStart"/>
      <w:r w:rsidRPr="001F123C">
        <w:t>)(</w:t>
      </w:r>
      <w:proofErr w:type="gramEnd"/>
      <w:r w:rsidRPr="001F123C">
        <w:t>1)(C); 40 CFR 130.7(c)(1)(ii).</w:t>
      </w:r>
    </w:p>
    <w:p w:rsidR="00BF1279" w:rsidRPr="001F123C" w:rsidRDefault="00BF1279" w:rsidP="00172DB8">
      <w:pPr>
        <w:pStyle w:val="ListParagraph"/>
        <w:spacing w:line="240" w:lineRule="auto"/>
      </w:pPr>
    </w:p>
    <w:p w:rsidR="00A00591" w:rsidRPr="007359B3" w:rsidRDefault="00A00591" w:rsidP="00172DB8">
      <w:pPr>
        <w:spacing w:line="240" w:lineRule="auto"/>
        <w:ind w:left="360"/>
        <w:rPr>
          <w:b/>
          <w:i/>
        </w:rPr>
      </w:pPr>
      <w:r>
        <w:rPr>
          <w:b/>
          <w:i/>
        </w:rPr>
        <w:t>C</w:t>
      </w:r>
      <w:r w:rsidRPr="007359B3">
        <w:rPr>
          <w:b/>
          <w:i/>
        </w:rPr>
        <w:t xml:space="preserve">omponents of </w:t>
      </w:r>
      <w:proofErr w:type="gramStart"/>
      <w:r w:rsidRPr="007359B3">
        <w:rPr>
          <w:b/>
          <w:i/>
        </w:rPr>
        <w:t>a TMDL</w:t>
      </w:r>
      <w:proofErr w:type="gramEnd"/>
      <w:r w:rsidRPr="007359B3">
        <w:rPr>
          <w:b/>
          <w:i/>
        </w:rPr>
        <w:t xml:space="preserve"> and EPA guidance for developing TMDLs </w:t>
      </w:r>
      <w:r w:rsidR="000A6601">
        <w:rPr>
          <w:b/>
          <w:i/>
        </w:rPr>
        <w:t xml:space="preserve">for dissolved oxygen (DO), nutrient eutrophication (nitrates), temperature, and fish </w:t>
      </w:r>
      <w:proofErr w:type="spellStart"/>
      <w:r w:rsidR="000A6601">
        <w:rPr>
          <w:b/>
          <w:i/>
        </w:rPr>
        <w:t>bioassessment</w:t>
      </w:r>
      <w:proofErr w:type="spellEnd"/>
      <w:r w:rsidR="000A6601">
        <w:rPr>
          <w:b/>
          <w:i/>
        </w:rPr>
        <w:t xml:space="preserve"> impairments</w:t>
      </w:r>
    </w:p>
    <w:p w:rsidR="00BF1279" w:rsidRPr="001F123C" w:rsidRDefault="00BF1279" w:rsidP="00172DB8">
      <w:pPr>
        <w:pStyle w:val="ListParagraph"/>
        <w:spacing w:line="240" w:lineRule="auto"/>
        <w:ind w:left="360"/>
        <w:rPr>
          <w:b/>
          <w:i/>
        </w:rPr>
      </w:pPr>
    </w:p>
    <w:p w:rsidR="00586241" w:rsidRPr="001F123C" w:rsidRDefault="00586241" w:rsidP="001110BE">
      <w:pPr>
        <w:pStyle w:val="ListParagraph"/>
        <w:numPr>
          <w:ilvl w:val="0"/>
          <w:numId w:val="1"/>
        </w:numPr>
        <w:tabs>
          <w:tab w:val="left" w:pos="990"/>
        </w:tabs>
        <w:spacing w:line="240" w:lineRule="auto"/>
        <w:ind w:left="720" w:hanging="360"/>
      </w:pPr>
      <w:r w:rsidRPr="001F123C">
        <w:t xml:space="preserve">The EPA promulgated guidance for states to follow in developing proposed TMDLs. </w:t>
      </w:r>
      <w:proofErr w:type="gramStart"/>
      <w:r w:rsidRPr="001F123C">
        <w:t xml:space="preserve">The Little Rock Creek TMDL is consistent with EPA guidance as set forth in: 1) </w:t>
      </w:r>
      <w:r w:rsidRPr="001F123C">
        <w:rPr>
          <w:i/>
        </w:rPr>
        <w:t>Technical Guidance Manual for Developing Total Maximum Daily Loads: Book 2, Rivers and Streams; Part 1 Biochemical Oxygen Demand/DO and Nutrient Eutrophication</w:t>
      </w:r>
      <w:r w:rsidRPr="001F123C">
        <w:t xml:space="preserve">, EPA/823/B-97-002, Year 1997 </w:t>
      </w:r>
      <w:hyperlink r:id="rId9" w:history="1">
        <w:r w:rsidR="00C876A2" w:rsidRPr="0043630B">
          <w:rPr>
            <w:rStyle w:val="Hyperlink"/>
          </w:rPr>
          <w:t>http://water.epa.gov/scitech/datait/models/upload/2006_12_05_standards_tmdl_guidance.pdf</w:t>
        </w:r>
      </w:hyperlink>
      <w:r w:rsidR="00C876A2">
        <w:t xml:space="preserve">; </w:t>
      </w:r>
      <w:r w:rsidRPr="001F123C">
        <w:t xml:space="preserve">and 2) </w:t>
      </w:r>
      <w:r w:rsidRPr="00C46BC6">
        <w:rPr>
          <w:i/>
        </w:rPr>
        <w:t>Protocol for Developing Nutrient TMDLs</w:t>
      </w:r>
      <w:r w:rsidRPr="001F123C">
        <w:t>, EPA 841-B-99-007, Year 1999</w:t>
      </w:r>
      <w:r w:rsidR="00C876A2">
        <w:t xml:space="preserve"> </w:t>
      </w:r>
      <w:hyperlink r:id="rId10" w:history="1">
        <w:r w:rsidR="00C876A2" w:rsidRPr="0043630B">
          <w:rPr>
            <w:rStyle w:val="Hyperlink"/>
          </w:rPr>
          <w:t>http://water.epa.gov/lawsregs/lawsguidance/cwa/tmdl/upload/2000_01_10_tmdl_nutrient_nutrient.pdf</w:t>
        </w:r>
      </w:hyperlink>
      <w:r w:rsidR="00C876A2">
        <w:t xml:space="preserve"> </w:t>
      </w:r>
      <w:r w:rsidRPr="001F123C">
        <w:t xml:space="preserve">; and 3) </w:t>
      </w:r>
      <w:r w:rsidRPr="001F123C">
        <w:rPr>
          <w:i/>
        </w:rPr>
        <w:t>Quality Criteria for Water</w:t>
      </w:r>
      <w:r w:rsidRPr="001F123C">
        <w:t>, EPA, Year 1986</w:t>
      </w:r>
      <w:r w:rsidR="009C1B9D">
        <w:t xml:space="preserve"> </w:t>
      </w:r>
      <w:hyperlink r:id="rId11" w:history="1">
        <w:r w:rsidR="009C1B9D" w:rsidRPr="0043630B">
          <w:rPr>
            <w:rStyle w:val="Hyperlink"/>
          </w:rPr>
          <w:t>http://water.epa.gov/scitech/swguidance/standards/criteria/aqlife/upload/2009_01_13_criteria_goldbook.pdf</w:t>
        </w:r>
      </w:hyperlink>
      <w:r w:rsidRPr="001F123C">
        <w:t>.</w:t>
      </w:r>
      <w:proofErr w:type="gramEnd"/>
    </w:p>
    <w:p w:rsidR="00586241" w:rsidRPr="001F123C" w:rsidRDefault="00586241" w:rsidP="00172DB8">
      <w:pPr>
        <w:pStyle w:val="ListParagraph"/>
        <w:spacing w:line="240" w:lineRule="auto"/>
        <w:ind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 xml:space="preserve">In characterizing </w:t>
      </w:r>
      <w:proofErr w:type="gramStart"/>
      <w:r w:rsidRPr="001F123C">
        <w:t>a receiving</w:t>
      </w:r>
      <w:proofErr w:type="gramEnd"/>
      <w:r w:rsidRPr="001F123C">
        <w:t xml:space="preserve"> water’s loading capacity, a TMDL is expressed as the sum of the allocated loads of pollutants set at a level necessary to meet the applicable water quality standards. </w:t>
      </w:r>
      <w:proofErr w:type="gramStart"/>
      <w:r w:rsidRPr="001F123C">
        <w:t>40</w:t>
      </w:r>
      <w:proofErr w:type="gramEnd"/>
      <w:r w:rsidRPr="001F123C">
        <w:t xml:space="preserve"> C.F.R. § 130.2(</w:t>
      </w:r>
      <w:proofErr w:type="spellStart"/>
      <w:r w:rsidRPr="001F123C">
        <w:t>i</w:t>
      </w:r>
      <w:proofErr w:type="spellEnd"/>
      <w:r w:rsidRPr="001F123C">
        <w:t xml:space="preserve">). A TMDL </w:t>
      </w:r>
      <w:proofErr w:type="gramStart"/>
      <w:r w:rsidRPr="001F123C">
        <w:t>includes:</w:t>
      </w:r>
      <w:proofErr w:type="gramEnd"/>
      <w:r w:rsidRPr="001F123C">
        <w:t xml:space="preserve"> wasteload allocations from point sources; load allocations from nonpoint sources; natural background conditions; a margin of safety; and in some cases a reserve capacity if determined to be necessary for future growth. </w:t>
      </w:r>
      <w:r w:rsidRPr="001F123C">
        <w:rPr>
          <w:i/>
        </w:rPr>
        <w:t>Id.</w:t>
      </w:r>
      <w:r w:rsidRPr="001F123C">
        <w:t xml:space="preserve"> A TMDL must </w:t>
      </w:r>
      <w:r w:rsidRPr="001F123C">
        <w:lastRenderedPageBreak/>
        <w:t>also consider seasonal variations.</w:t>
      </w:r>
      <w:r w:rsidR="007A543A" w:rsidRPr="007A543A">
        <w:t xml:space="preserve"> </w:t>
      </w:r>
      <w:r w:rsidR="007A543A" w:rsidRPr="007359B3">
        <w:t>33 U.S.C. § 1313(d)(1)(C) and (d)</w:t>
      </w:r>
      <w:r w:rsidR="007A543A">
        <w:t>(1)(D)</w:t>
      </w:r>
      <w:r w:rsidR="007A543A" w:rsidRPr="007359B3">
        <w:t>(3); 40 C.F.R. § 130.7</w:t>
      </w:r>
      <w:r w:rsidR="007A543A">
        <w:t>(6)</w:t>
      </w:r>
      <w:r w:rsidR="007A543A" w:rsidRPr="007359B3">
        <w:t>(c)(1)</w:t>
      </w:r>
      <w:r w:rsidRPr="001F123C">
        <w:t xml:space="preserve">; 40 C.F.R. § 130.7(c)(1). </w:t>
      </w:r>
      <w:proofErr w:type="gramStart"/>
      <w:r w:rsidRPr="001F123C">
        <w:t>(</w:t>
      </w:r>
      <w:r w:rsidRPr="001F123C">
        <w:rPr>
          <w:i/>
        </w:rPr>
        <w:t xml:space="preserve">See also, </w:t>
      </w:r>
      <w:r w:rsidRPr="001F123C">
        <w:t xml:space="preserve">U.S. Environmental Protection Agency, </w:t>
      </w:r>
      <w:r w:rsidRPr="001F123C">
        <w:rPr>
          <w:i/>
        </w:rPr>
        <w:t>Guidance for Water Quality-based Decisions: The TMDL Process</w:t>
      </w:r>
      <w:r w:rsidRPr="001F123C">
        <w:t xml:space="preserve">, Office of Water, </w:t>
      </w:r>
      <w:r w:rsidRPr="001F123C">
        <w:rPr>
          <w:i/>
          <w:iCs/>
        </w:rPr>
        <w:t xml:space="preserve">WH-S53, </w:t>
      </w:r>
      <w:r w:rsidRPr="001F123C">
        <w:t xml:space="preserve">Washington D.C., April 1991, </w:t>
      </w:r>
      <w:hyperlink r:id="rId12" w:history="1">
        <w:r w:rsidRPr="001F123C">
          <w:rPr>
            <w:rStyle w:val="Hyperlink"/>
          </w:rPr>
          <w:t>http://water.epa.gov/scitech/datait/models/upload/1999_11_05_models_SASD0109.pdf</w:t>
        </w:r>
      </w:hyperlink>
      <w:r w:rsidRPr="001F123C">
        <w:t>).</w:t>
      </w:r>
      <w:proofErr w:type="gramEnd"/>
      <w:r w:rsidRPr="001F123C">
        <w:t xml:space="preserve">  </w:t>
      </w:r>
    </w:p>
    <w:p w:rsidR="00BF1279" w:rsidRPr="001F123C" w:rsidRDefault="00BF1279" w:rsidP="00172DB8">
      <w:pPr>
        <w:pStyle w:val="ListParagraph"/>
        <w:spacing w:line="240" w:lineRule="auto"/>
        <w:ind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 xml:space="preserve">A </w:t>
      </w:r>
      <w:r w:rsidRPr="001F123C">
        <w:rPr>
          <w:u w:val="single"/>
        </w:rPr>
        <w:t>Wasteload Allocation (WLA)</w:t>
      </w:r>
      <w:r w:rsidRPr="001F123C">
        <w:t xml:space="preserve"> is the portion of </w:t>
      </w:r>
      <w:proofErr w:type="gramStart"/>
      <w:r w:rsidRPr="001F123C">
        <w:t>a receiving</w:t>
      </w:r>
      <w:proofErr w:type="gramEnd"/>
      <w:r w:rsidRPr="001F123C">
        <w:t xml:space="preserve"> water’s loading capacity allocated to existing and/or future </w:t>
      </w:r>
      <w:r w:rsidRPr="001F123C">
        <w:rPr>
          <w:b/>
        </w:rPr>
        <w:t>point sources</w:t>
      </w:r>
      <w:r w:rsidRPr="001F123C">
        <w:t xml:space="preserve">. </w:t>
      </w:r>
      <w:proofErr w:type="gramStart"/>
      <w:r w:rsidRPr="001F123C">
        <w:t>40</w:t>
      </w:r>
      <w:proofErr w:type="gramEnd"/>
      <w:r w:rsidRPr="001F123C">
        <w:t xml:space="preserve"> C.F.R. § 130.2(h).</w:t>
      </w:r>
    </w:p>
    <w:p w:rsidR="00BF1279" w:rsidRPr="001F123C" w:rsidRDefault="00BF1279" w:rsidP="00172DB8">
      <w:pPr>
        <w:pStyle w:val="ListParagraph"/>
        <w:spacing w:line="240" w:lineRule="auto"/>
        <w:ind w:hanging="360"/>
      </w:pPr>
    </w:p>
    <w:p w:rsidR="00025F2C" w:rsidRPr="001F123C" w:rsidRDefault="00025F2C" w:rsidP="00172DB8">
      <w:pPr>
        <w:pStyle w:val="ListParagraph"/>
        <w:numPr>
          <w:ilvl w:val="0"/>
          <w:numId w:val="1"/>
        </w:numPr>
        <w:spacing w:line="240" w:lineRule="auto"/>
        <w:ind w:left="720" w:hanging="360"/>
      </w:pPr>
      <w:r w:rsidRPr="001F123C">
        <w:t>The Little Rock Creek TMDL</w:t>
      </w:r>
      <w:r w:rsidR="009E3BB0">
        <w:t xml:space="preserve"> sets WLA at</w:t>
      </w:r>
      <w:r w:rsidRPr="001F123C">
        <w:t xml:space="preserve"> zero for point sources because there are no </w:t>
      </w:r>
      <w:r w:rsidR="0095726C" w:rsidRPr="001F123C">
        <w:t>con</w:t>
      </w:r>
      <w:r w:rsidR="00020922">
        <w:t xml:space="preserve">centrated </w:t>
      </w:r>
      <w:r w:rsidR="0095726C" w:rsidRPr="001F123C">
        <w:t>agricultural feeding operations (</w:t>
      </w:r>
      <w:r w:rsidRPr="001F123C">
        <w:t>CAFOs</w:t>
      </w:r>
      <w:r w:rsidR="0095726C" w:rsidRPr="001F123C">
        <w:t>)</w:t>
      </w:r>
      <w:r w:rsidRPr="001F123C">
        <w:t>, industrial</w:t>
      </w:r>
      <w:r w:rsidR="0095726C" w:rsidRPr="001F123C">
        <w:t xml:space="preserve"> point sources, or </w:t>
      </w:r>
      <w:r w:rsidRPr="001F123C">
        <w:t xml:space="preserve">municipal wastewater treatment facilities in the </w:t>
      </w:r>
      <w:r w:rsidR="00EF5F2B">
        <w:t xml:space="preserve">Little Rock Creek TMDL </w:t>
      </w:r>
      <w:r w:rsidRPr="001F123C">
        <w:t>project area. Construction stormwater and industrial stormwater</w:t>
      </w:r>
      <w:r w:rsidR="00BE13A3" w:rsidRPr="001F123C">
        <w:t xml:space="preserve"> </w:t>
      </w:r>
      <w:proofErr w:type="gramStart"/>
      <w:r w:rsidRPr="001F123C">
        <w:t>are combined</w:t>
      </w:r>
      <w:proofErr w:type="gramEnd"/>
      <w:r w:rsidRPr="001F123C">
        <w:t xml:space="preserve"> in a categorical WLA based on an approximation of the land area covered by those activities. To account for industrial stormwater, as well as reserve capacity (to allow for the potential of higher rates of construction and additional industrial facilities), this TMDL assumes 0.1 percent of the land area for a combined construction and industrial stormwater category. The allocation to this category </w:t>
      </w:r>
      <w:r w:rsidR="00EF5F2B">
        <w:t xml:space="preserve">(WLA) </w:t>
      </w:r>
      <w:r w:rsidRPr="001F123C">
        <w:t xml:space="preserve">is made after an explicit </w:t>
      </w:r>
      <w:r w:rsidR="00BE13A3" w:rsidRPr="001F123C">
        <w:t>margin of safety (</w:t>
      </w:r>
      <w:r w:rsidRPr="001F123C">
        <w:t>MOS</w:t>
      </w:r>
      <w:r w:rsidR="00BE13A3" w:rsidRPr="001F123C">
        <w:t>)</w:t>
      </w:r>
      <w:r w:rsidRPr="001F123C">
        <w:t xml:space="preserve"> (where applicable) is subtracted from the total loading capacity. That remaining capacity </w:t>
      </w:r>
      <w:proofErr w:type="gramStart"/>
      <w:r w:rsidRPr="001F123C">
        <w:t>is divided up</w:t>
      </w:r>
      <w:proofErr w:type="gramEnd"/>
      <w:r w:rsidRPr="001F123C">
        <w:t xml:space="preserve"> between construction and industrial stormwater and all of the nonpoint sources (the LA) based on the percent land area covered. </w:t>
      </w:r>
      <w:r w:rsidR="00BE13A3" w:rsidRPr="001F123C">
        <w:t xml:space="preserve">See Draft </w:t>
      </w:r>
      <w:r w:rsidR="00BE13A3" w:rsidRPr="001F123C">
        <w:rPr>
          <w:i/>
        </w:rPr>
        <w:t xml:space="preserve">Little Rock Creek Watershed Total Maximum Daily Load Report: Dissolved Oxygen, Nitrate, Temperature and Fish </w:t>
      </w:r>
      <w:proofErr w:type="spellStart"/>
      <w:r w:rsidR="00BE13A3" w:rsidRPr="001F123C">
        <w:rPr>
          <w:i/>
        </w:rPr>
        <w:t>Bioassessment</w:t>
      </w:r>
      <w:proofErr w:type="spellEnd"/>
      <w:r w:rsidR="00BE13A3" w:rsidRPr="001F123C">
        <w:rPr>
          <w:i/>
        </w:rPr>
        <w:t xml:space="preserve"> Impairments</w:t>
      </w:r>
      <w:r w:rsidR="00377A7F">
        <w:rPr>
          <w:i/>
        </w:rPr>
        <w:t xml:space="preserve"> </w:t>
      </w:r>
      <w:r w:rsidR="00377A7F" w:rsidRPr="00377A7F">
        <w:t>(Draft</w:t>
      </w:r>
      <w:r w:rsidR="00377A7F">
        <w:t xml:space="preserve"> Little Rock Creek TMDL)</w:t>
      </w:r>
      <w:r w:rsidR="005F016F">
        <w:t>,</w:t>
      </w:r>
      <w:r w:rsidR="00BE13A3" w:rsidRPr="001F123C">
        <w:t xml:space="preserve"> MPCA January 2013, </w:t>
      </w:r>
      <w:r w:rsidR="0053472C">
        <w:t xml:space="preserve">at </w:t>
      </w:r>
      <w:r w:rsidR="00BE13A3" w:rsidRPr="001F123C">
        <w:t>26.</w:t>
      </w:r>
    </w:p>
    <w:p w:rsidR="00025F2C" w:rsidRPr="001F123C" w:rsidRDefault="00025F2C" w:rsidP="00172DB8">
      <w:pPr>
        <w:pStyle w:val="ListParagraph"/>
        <w:spacing w:line="240" w:lineRule="auto"/>
        <w:ind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 xml:space="preserve">A </w:t>
      </w:r>
      <w:r w:rsidRPr="001F123C">
        <w:rPr>
          <w:u w:val="single"/>
        </w:rPr>
        <w:t>Load Allocation (LA)</w:t>
      </w:r>
      <w:r w:rsidRPr="001F123C">
        <w:t xml:space="preserve"> refers to the portion of </w:t>
      </w:r>
      <w:proofErr w:type="gramStart"/>
      <w:r w:rsidRPr="001F123C">
        <w:t>a receiving</w:t>
      </w:r>
      <w:proofErr w:type="gramEnd"/>
      <w:r w:rsidRPr="001F123C">
        <w:t xml:space="preserve"> water’s loading capacity attributed to </w:t>
      </w:r>
      <w:r w:rsidRPr="001F123C">
        <w:rPr>
          <w:b/>
        </w:rPr>
        <w:t>nonpoint sources</w:t>
      </w:r>
      <w:r w:rsidRPr="001F123C">
        <w:t xml:space="preserve"> of pollution and </w:t>
      </w:r>
      <w:r w:rsidRPr="001F123C">
        <w:rPr>
          <w:b/>
        </w:rPr>
        <w:t>natural background sources</w:t>
      </w:r>
      <w:r w:rsidRPr="001F123C">
        <w:t xml:space="preserve">. Load allocations are best estimates of the loading from these sources, which can range from reasonably accurate estimates to gross allotments, depending on the availability of data and appropriate techniques for predicting the loading. Wherever possible, nonpoint source loads and natural background source loads </w:t>
      </w:r>
      <w:proofErr w:type="gramStart"/>
      <w:r w:rsidRPr="001F123C">
        <w:t>should be distinguished</w:t>
      </w:r>
      <w:proofErr w:type="gramEnd"/>
      <w:r w:rsidRPr="001F123C">
        <w:t xml:space="preserve">. </w:t>
      </w:r>
      <w:proofErr w:type="gramStart"/>
      <w:r w:rsidRPr="001F123C">
        <w:t>40</w:t>
      </w:r>
      <w:proofErr w:type="gramEnd"/>
      <w:r w:rsidRPr="001F123C">
        <w:t xml:space="preserve"> CFR § 130.2(g).</w:t>
      </w:r>
    </w:p>
    <w:p w:rsidR="00BF1279" w:rsidRPr="001F123C" w:rsidRDefault="00BF1279" w:rsidP="00172DB8">
      <w:pPr>
        <w:pStyle w:val="ListParagraph"/>
        <w:spacing w:line="240" w:lineRule="auto"/>
        <w:ind w:hanging="360"/>
      </w:pPr>
    </w:p>
    <w:p w:rsidR="002D7A92" w:rsidRPr="001F123C" w:rsidRDefault="00020922" w:rsidP="00172DB8">
      <w:pPr>
        <w:pStyle w:val="ListParagraph"/>
        <w:numPr>
          <w:ilvl w:val="0"/>
          <w:numId w:val="1"/>
        </w:numPr>
        <w:spacing w:line="240" w:lineRule="auto"/>
        <w:ind w:left="720" w:hanging="360"/>
      </w:pPr>
      <w:r>
        <w:t>In the Little Rock Creek TMDL, t</w:t>
      </w:r>
      <w:r w:rsidR="006B3194" w:rsidRPr="001F123C">
        <w:t xml:space="preserve">he LAs representing nonpoint agricultural and natural background </w:t>
      </w:r>
      <w:r>
        <w:t xml:space="preserve">sources </w:t>
      </w:r>
      <w:proofErr w:type="gramStart"/>
      <w:r w:rsidR="006B3194" w:rsidRPr="001F123C">
        <w:t>are made</w:t>
      </w:r>
      <w:proofErr w:type="gramEnd"/>
      <w:r w:rsidR="006B3194" w:rsidRPr="001F123C">
        <w:t xml:space="preserve"> after the WLAs are determined and the MOS </w:t>
      </w:r>
      <w:r w:rsidR="00E4708B">
        <w:t>is</w:t>
      </w:r>
      <w:r w:rsidR="006B3194" w:rsidRPr="001F123C">
        <w:t xml:space="preserve"> subtracted from the total loading capacity. Subtracting the 0.1 percent allocated to construction and industrial stormwater </w:t>
      </w:r>
      <w:r w:rsidR="00680DFC">
        <w:t xml:space="preserve">WLA </w:t>
      </w:r>
      <w:r w:rsidR="006B3194" w:rsidRPr="001F123C">
        <w:t>and 10% for MOS results in the other 89.9% of lo</w:t>
      </w:r>
      <w:r w:rsidR="00680DFC">
        <w:t>adings allocated to the LA</w:t>
      </w:r>
      <w:r w:rsidR="006B3194" w:rsidRPr="001F123C">
        <w:t xml:space="preserve">. </w:t>
      </w:r>
      <w:r w:rsidR="00DF354A" w:rsidRPr="001F123C">
        <w:t>Nonpoint pollution sources are not subject to NPDES permit requirements, therefore, i</w:t>
      </w:r>
      <w:r w:rsidR="002D7A92" w:rsidRPr="001F123C">
        <w:t xml:space="preserve">mplementation </w:t>
      </w:r>
      <w:r w:rsidR="00DF354A" w:rsidRPr="001F123C">
        <w:t xml:space="preserve">of pollutant reductions </w:t>
      </w:r>
      <w:r w:rsidR="002D7A92" w:rsidRPr="001F123C">
        <w:t>by landowners is voluntary. See</w:t>
      </w:r>
      <w:r w:rsidR="00BE13A3" w:rsidRPr="001F123C">
        <w:t xml:space="preserve"> Draft </w:t>
      </w:r>
      <w:r w:rsidR="00BE13A3" w:rsidRPr="001F123C">
        <w:rPr>
          <w:i/>
        </w:rPr>
        <w:t xml:space="preserve">Little Rock Creek </w:t>
      </w:r>
      <w:r w:rsidR="005F016F">
        <w:rPr>
          <w:i/>
        </w:rPr>
        <w:t>TMDL</w:t>
      </w:r>
      <w:r w:rsidR="00BE13A3" w:rsidRPr="001F123C">
        <w:t xml:space="preserve"> </w:t>
      </w:r>
      <w:r w:rsidR="000651C4">
        <w:t>at</w:t>
      </w:r>
      <w:r w:rsidR="00BE13A3" w:rsidRPr="001F123C">
        <w:t xml:space="preserve"> 26. </w:t>
      </w:r>
    </w:p>
    <w:p w:rsidR="00BE13A3" w:rsidRPr="001F123C" w:rsidRDefault="00BE13A3" w:rsidP="00172DB8">
      <w:pPr>
        <w:spacing w:line="240" w:lineRule="auto"/>
        <w:ind w:left="720"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 xml:space="preserve">The EPA defines “natural background levels” as “chemical, physical, and biological levels representing conditions that would result from natural processes, such as weathering and dissolution.” </w:t>
      </w:r>
      <w:proofErr w:type="gramStart"/>
      <w:r w:rsidRPr="001F123C">
        <w:t xml:space="preserve">U.S. E.P.A., </w:t>
      </w:r>
      <w:r w:rsidRPr="001F123C">
        <w:rPr>
          <w:i/>
          <w:iCs/>
        </w:rPr>
        <w:t>Clean Water Act, Total Maximum Daily Loads (303d): Glossary</w:t>
      </w:r>
      <w:r w:rsidRPr="001F123C">
        <w:t xml:space="preserve">, </w:t>
      </w:r>
      <w:hyperlink r:id="rId13" w:history="1">
        <w:r w:rsidRPr="001F123C">
          <w:rPr>
            <w:rStyle w:val="Hyperlink"/>
          </w:rPr>
          <w:t>http://water.epa.gov/lawsregs/lawsguidance/cwa/tmdl/glossary.cfm</w:t>
        </w:r>
      </w:hyperlink>
      <w:r w:rsidRPr="001F123C">
        <w:rPr>
          <w:rStyle w:val="Hyperlink"/>
        </w:rPr>
        <w:t>.</w:t>
      </w:r>
      <w:proofErr w:type="gramEnd"/>
      <w:r w:rsidRPr="001F123C">
        <w:rPr>
          <w:color w:val="002060"/>
        </w:rPr>
        <w:t xml:space="preserve"> </w:t>
      </w:r>
    </w:p>
    <w:p w:rsidR="00BF1279" w:rsidRPr="001F123C" w:rsidRDefault="00BF1279" w:rsidP="00172DB8">
      <w:pPr>
        <w:pStyle w:val="ListParagraph"/>
        <w:spacing w:line="240" w:lineRule="auto"/>
      </w:pPr>
    </w:p>
    <w:p w:rsidR="00FE4C7B" w:rsidRDefault="00BF1279" w:rsidP="00FE4C7B">
      <w:pPr>
        <w:pStyle w:val="ListParagraph"/>
        <w:numPr>
          <w:ilvl w:val="0"/>
          <w:numId w:val="1"/>
        </w:numPr>
        <w:autoSpaceDE w:val="0"/>
        <w:autoSpaceDN w:val="0"/>
        <w:adjustRightInd w:val="0"/>
        <w:spacing w:line="240" w:lineRule="auto"/>
        <w:ind w:left="720" w:hanging="360"/>
      </w:pPr>
      <w:proofErr w:type="gramStart"/>
      <w:r w:rsidRPr="001F123C">
        <w:t>The Minnesota Statute governing TMDL</w:t>
      </w:r>
      <w:r w:rsidR="004377DD">
        <w:t>s</w:t>
      </w:r>
      <w:r w:rsidRPr="001F123C">
        <w:t xml:space="preserve">, the Clean Water Legacy Act (CWLA), defines “natural background” as “characteristics of the water body resulting from the multiplicity of factors in nature, including climate and ecosystem dynamics, that affect the physical, chemical, or </w:t>
      </w:r>
      <w:r w:rsidRPr="001F123C">
        <w:lastRenderedPageBreak/>
        <w:t>biological conditions in a water body, but does not include measurable and distinguishable pollution that is attributable to human activity or influence.”</w:t>
      </w:r>
      <w:proofErr w:type="gramEnd"/>
      <w:r w:rsidRPr="001F123C">
        <w:t xml:space="preserve"> </w:t>
      </w:r>
      <w:proofErr w:type="gramStart"/>
      <w:r w:rsidRPr="001F123C">
        <w:t xml:space="preserve">Minn. Stat. § 114D.15, </w:t>
      </w:r>
      <w:proofErr w:type="spellStart"/>
      <w:r w:rsidRPr="001F123C">
        <w:t>subd</w:t>
      </w:r>
      <w:proofErr w:type="spellEnd"/>
      <w:r w:rsidRPr="001F123C">
        <w:t>.</w:t>
      </w:r>
      <w:proofErr w:type="gramEnd"/>
      <w:r w:rsidRPr="001F123C">
        <w:t xml:space="preserve"> 10.</w:t>
      </w:r>
    </w:p>
    <w:p w:rsidR="006C17FA" w:rsidRDefault="006C17FA" w:rsidP="006C17FA">
      <w:pPr>
        <w:autoSpaceDE w:val="0"/>
        <w:autoSpaceDN w:val="0"/>
        <w:adjustRightInd w:val="0"/>
        <w:spacing w:line="240" w:lineRule="auto"/>
      </w:pPr>
    </w:p>
    <w:p w:rsidR="00BF1279" w:rsidRPr="001F123C" w:rsidRDefault="00BF1279" w:rsidP="00FE4C7B">
      <w:pPr>
        <w:pStyle w:val="ListParagraph"/>
        <w:numPr>
          <w:ilvl w:val="0"/>
          <w:numId w:val="1"/>
        </w:numPr>
        <w:autoSpaceDE w:val="0"/>
        <w:autoSpaceDN w:val="0"/>
        <w:adjustRightInd w:val="0"/>
        <w:spacing w:line="240" w:lineRule="auto"/>
        <w:ind w:left="720" w:hanging="360"/>
      </w:pPr>
      <w:r w:rsidRPr="001F123C">
        <w:t xml:space="preserve">Minnesota’s water quality standards rule defines “natural causes” as the multiplicity of factors that determine the physical, chemical, or biological conditions that would exist in a water body in the absence of measurable impacts from human activity or influence. </w:t>
      </w:r>
      <w:proofErr w:type="gramStart"/>
      <w:r w:rsidRPr="001F123C">
        <w:t xml:space="preserve">Minn. R. 7050.0150, </w:t>
      </w:r>
      <w:proofErr w:type="spellStart"/>
      <w:r w:rsidRPr="001F123C">
        <w:t>subp</w:t>
      </w:r>
      <w:proofErr w:type="spellEnd"/>
      <w:r w:rsidRPr="001F123C">
        <w:t>.</w:t>
      </w:r>
      <w:proofErr w:type="gramEnd"/>
      <w:r w:rsidRPr="001F123C">
        <w:t xml:space="preserve"> 4.</w:t>
      </w:r>
    </w:p>
    <w:p w:rsidR="00BF1279" w:rsidRPr="001F123C" w:rsidRDefault="00BF1279" w:rsidP="00172DB8">
      <w:pPr>
        <w:pStyle w:val="ListParagraph"/>
        <w:spacing w:line="240" w:lineRule="auto"/>
        <w:ind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 xml:space="preserve">Based on the definitions provided by EPA and in Minnesota Statute and Rule, the MPCA hereby finds that “natural background” is the condition that occurs outside of human influence. </w:t>
      </w:r>
    </w:p>
    <w:p w:rsidR="00BF1279" w:rsidRPr="001F123C" w:rsidRDefault="00BF1279" w:rsidP="00172DB8">
      <w:pPr>
        <w:pStyle w:val="ListParagraph"/>
        <w:spacing w:line="240" w:lineRule="auto"/>
        <w:ind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 xml:space="preserve">An important distinction must be made between a water body impaired due to natural background </w:t>
      </w:r>
      <w:r w:rsidR="004377DD">
        <w:t xml:space="preserve">and </w:t>
      </w:r>
      <w:r w:rsidRPr="001F123C">
        <w:t>a water body impaired due to anthropogenic (i.e. human influenced) factors. If a water body is determined not to meet water quality standards solely due to natural background conditions, a TMDL is not required and the natural background condition becomes the standard</w:t>
      </w:r>
      <w:r w:rsidRPr="001F123C">
        <w:rPr>
          <w:color w:val="000000"/>
        </w:rPr>
        <w:t>. Mi</w:t>
      </w:r>
      <w:r w:rsidRPr="001F123C">
        <w:t xml:space="preserve">nn. R. 7050.0170; </w:t>
      </w:r>
      <w:r w:rsidRPr="001F123C">
        <w:rPr>
          <w:color w:val="000000"/>
        </w:rPr>
        <w:t xml:space="preserve">U.S. E.P.A., Office of Wetlands, Oceans, and Watersheds, </w:t>
      </w:r>
      <w:r w:rsidRPr="001F123C">
        <w:rPr>
          <w:i/>
          <w:iCs/>
          <w:color w:val="000000"/>
        </w:rPr>
        <w:t xml:space="preserve">Consolidated Assessment and Listing Methodology, Toward a Compendium of Best Practices </w:t>
      </w:r>
      <w:r w:rsidRPr="001F123C">
        <w:rPr>
          <w:color w:val="000000"/>
        </w:rPr>
        <w:t xml:space="preserve">(2002), </w:t>
      </w:r>
      <w:hyperlink r:id="rId14" w:history="1">
        <w:r w:rsidRPr="001F123C">
          <w:rPr>
            <w:rStyle w:val="Hyperlink"/>
          </w:rPr>
          <w:t>http://water.epa.gov/type/watersheds/monitoring/calm.cfm</w:t>
        </w:r>
      </w:hyperlink>
      <w:r w:rsidRPr="001F123C">
        <w:t xml:space="preserve">. </w:t>
      </w:r>
    </w:p>
    <w:p w:rsidR="00BF1279" w:rsidRPr="001F123C" w:rsidRDefault="00BF1279" w:rsidP="00172DB8">
      <w:pPr>
        <w:pStyle w:val="ListParagraph"/>
        <w:spacing w:line="240" w:lineRule="auto"/>
        <w:ind w:hanging="360"/>
      </w:pPr>
    </w:p>
    <w:p w:rsidR="00F23A59" w:rsidRPr="001F123C" w:rsidRDefault="00BF1279" w:rsidP="00F23A59">
      <w:pPr>
        <w:pStyle w:val="ListParagraph"/>
        <w:numPr>
          <w:ilvl w:val="0"/>
          <w:numId w:val="1"/>
        </w:numPr>
        <w:spacing w:line="240" w:lineRule="auto"/>
        <w:ind w:left="720" w:hanging="360"/>
      </w:pPr>
      <w:r w:rsidRPr="001F123C">
        <w:t xml:space="preserve">A </w:t>
      </w:r>
      <w:r w:rsidRPr="001F123C">
        <w:rPr>
          <w:u w:val="single"/>
        </w:rPr>
        <w:t>Margin of Safety (MOS)</w:t>
      </w:r>
      <w:r w:rsidRPr="001F123C">
        <w:t xml:space="preserve"> accounts for the uncertainty about the relationship between the pollutant loads and the quality of the receiving water body. The MOS is normally “implicit” which means the MOS </w:t>
      </w:r>
      <w:proofErr w:type="gramStart"/>
      <w:r w:rsidRPr="001F123C">
        <w:t>is incorporated</w:t>
      </w:r>
      <w:proofErr w:type="gramEnd"/>
      <w:r w:rsidRPr="001F123C">
        <w:t xml:space="preserve"> into the conservative assumptions used to develop TMDLs (generally within the calculations or models). This is particularly true where the pollution is largely by nonpoint sources. If the MOS needs to be larger than the “implicit” levels, additional MOS </w:t>
      </w:r>
      <w:proofErr w:type="gramStart"/>
      <w:r w:rsidRPr="001F123C">
        <w:t>can be added explicitly and expressed as a separate component of the TMDL</w:t>
      </w:r>
      <w:proofErr w:type="gramEnd"/>
      <w:r w:rsidRPr="001F123C">
        <w:t xml:space="preserve">. </w:t>
      </w:r>
      <w:r w:rsidR="00E94C60" w:rsidRPr="006960BA">
        <w:t>See</w:t>
      </w:r>
      <w:r w:rsidR="00E94C60">
        <w:rPr>
          <w:i/>
        </w:rPr>
        <w:t xml:space="preserve"> </w:t>
      </w:r>
      <w:r w:rsidR="006960BA" w:rsidRPr="001F123C">
        <w:rPr>
          <w:i/>
        </w:rPr>
        <w:t>Technical Guidance Manual for Developing Total Maximum Daily Loads: Book 2, Rivers and Streams</w:t>
      </w:r>
      <w:proofErr w:type="gramStart"/>
      <w:r w:rsidR="006960BA" w:rsidRPr="001F123C">
        <w:rPr>
          <w:i/>
        </w:rPr>
        <w:t>;</w:t>
      </w:r>
      <w:proofErr w:type="gramEnd"/>
      <w:r w:rsidR="006960BA" w:rsidRPr="001F123C">
        <w:rPr>
          <w:i/>
        </w:rPr>
        <w:t xml:space="preserve"> Part 1 Biochemical Oxygen Demand/DO and Nutrient Eutrophication</w:t>
      </w:r>
      <w:r w:rsidR="006960BA">
        <w:t>, EPA/823/B-97-002, Year 1997</w:t>
      </w:r>
      <w:r w:rsidR="00C876A2">
        <w:t>.</w:t>
      </w:r>
      <w:r w:rsidR="00F23A59">
        <w:t xml:space="preserve"> </w:t>
      </w:r>
    </w:p>
    <w:p w:rsidR="00BF1279" w:rsidRPr="001F123C" w:rsidRDefault="00BF1279" w:rsidP="00172DB8">
      <w:pPr>
        <w:pStyle w:val="ListParagraph"/>
        <w:spacing w:line="240" w:lineRule="auto"/>
        <w:ind w:hanging="360"/>
      </w:pPr>
    </w:p>
    <w:p w:rsidR="00BF1279" w:rsidRPr="001F123C" w:rsidRDefault="003564A0" w:rsidP="00172DB8">
      <w:pPr>
        <w:pStyle w:val="ListParagraph"/>
        <w:numPr>
          <w:ilvl w:val="0"/>
          <w:numId w:val="1"/>
        </w:numPr>
        <w:autoSpaceDE w:val="0"/>
        <w:autoSpaceDN w:val="0"/>
        <w:adjustRightInd w:val="0"/>
        <w:spacing w:line="240" w:lineRule="auto"/>
        <w:ind w:left="720" w:hanging="360"/>
      </w:pPr>
      <w:r>
        <w:t xml:space="preserve">A </w:t>
      </w:r>
      <w:r w:rsidR="00AE1972" w:rsidRPr="001F123C">
        <w:t xml:space="preserve">ten percent </w:t>
      </w:r>
      <w:r w:rsidR="00847293" w:rsidRPr="001F123C">
        <w:t xml:space="preserve">(10%) </w:t>
      </w:r>
      <w:r>
        <w:t xml:space="preserve">explicit </w:t>
      </w:r>
      <w:r w:rsidR="00AE1972" w:rsidRPr="001F123C">
        <w:t>MOS</w:t>
      </w:r>
      <w:r>
        <w:t xml:space="preserve"> was used to account for uncertainty within the TMDL calculation process for the Little Rock Creek TMDL</w:t>
      </w:r>
      <w:r w:rsidR="00847293" w:rsidRPr="001F123C">
        <w:t xml:space="preserve">. </w:t>
      </w:r>
      <w:r w:rsidR="00187CDD" w:rsidRPr="001F123C">
        <w:t xml:space="preserve">See Draft </w:t>
      </w:r>
      <w:r w:rsidR="00187CDD" w:rsidRPr="001F123C">
        <w:rPr>
          <w:i/>
        </w:rPr>
        <w:t xml:space="preserve">Little Rock Creek </w:t>
      </w:r>
      <w:r w:rsidR="005F016F">
        <w:rPr>
          <w:i/>
        </w:rPr>
        <w:t>TMD</w:t>
      </w:r>
      <w:r w:rsidR="00187CDD" w:rsidRPr="001F123C">
        <w:t xml:space="preserve">, </w:t>
      </w:r>
      <w:r w:rsidR="000651C4">
        <w:t>at</w:t>
      </w:r>
      <w:r w:rsidR="00187CDD" w:rsidRPr="001F123C">
        <w:t xml:space="preserve"> 28.</w:t>
      </w:r>
    </w:p>
    <w:p w:rsidR="00BF1279" w:rsidRPr="001F123C" w:rsidRDefault="00BF1279" w:rsidP="00172DB8">
      <w:pPr>
        <w:autoSpaceDE w:val="0"/>
        <w:autoSpaceDN w:val="0"/>
        <w:adjustRightInd w:val="0"/>
        <w:spacing w:line="240" w:lineRule="auto"/>
        <w:ind w:left="720" w:hanging="360"/>
        <w:rPr>
          <w:u w:val="single"/>
        </w:rPr>
      </w:pPr>
    </w:p>
    <w:p w:rsidR="00BF1279" w:rsidRPr="001F123C" w:rsidRDefault="00BF1279" w:rsidP="00172DB8">
      <w:pPr>
        <w:numPr>
          <w:ilvl w:val="0"/>
          <w:numId w:val="1"/>
        </w:numPr>
        <w:autoSpaceDE w:val="0"/>
        <w:autoSpaceDN w:val="0"/>
        <w:adjustRightInd w:val="0"/>
        <w:spacing w:line="240" w:lineRule="auto"/>
        <w:ind w:left="720" w:hanging="360"/>
        <w:contextualSpacing/>
        <w:rPr>
          <w:rFonts w:cs="Times New Roman"/>
        </w:rPr>
      </w:pPr>
      <w:r w:rsidRPr="001F123C">
        <w:rPr>
          <w:u w:val="single"/>
        </w:rPr>
        <w:t>Reserve Capacity (RC)</w:t>
      </w:r>
      <w:r w:rsidRPr="001F123C">
        <w:t xml:space="preserve"> is that portion of the receiving water’s loading capacity, as expressed as a </w:t>
      </w:r>
      <w:proofErr w:type="gramStart"/>
      <w:r w:rsidRPr="001F123C">
        <w:t>TMDL, that</w:t>
      </w:r>
      <w:proofErr w:type="gramEnd"/>
      <w:r w:rsidRPr="001F123C">
        <w:t xml:space="preserve"> accommodates future loads.</w:t>
      </w:r>
      <w:r w:rsidR="006551BB" w:rsidRPr="001F123C">
        <w:t xml:space="preserve"> </w:t>
      </w:r>
      <w:r w:rsidR="006960BA" w:rsidRPr="006960BA">
        <w:t>See</w:t>
      </w:r>
      <w:r w:rsidR="006960BA">
        <w:rPr>
          <w:i/>
        </w:rPr>
        <w:t xml:space="preserve"> </w:t>
      </w:r>
      <w:r w:rsidR="006960BA" w:rsidRPr="001F123C">
        <w:rPr>
          <w:i/>
        </w:rPr>
        <w:t>Technical Guidance Manual for Developing Total Maximum Daily Loads: Book 2, Rivers and Streams</w:t>
      </w:r>
      <w:proofErr w:type="gramStart"/>
      <w:r w:rsidR="006960BA" w:rsidRPr="001F123C">
        <w:rPr>
          <w:i/>
        </w:rPr>
        <w:t>;</w:t>
      </w:r>
      <w:proofErr w:type="gramEnd"/>
      <w:r w:rsidR="006960BA" w:rsidRPr="001F123C">
        <w:rPr>
          <w:i/>
        </w:rPr>
        <w:t xml:space="preserve"> Part 1 Biochemical Oxygen Demand/DO and Nutrient Eutrophication</w:t>
      </w:r>
      <w:r w:rsidR="006960BA">
        <w:t>, EPA/823/B-97-002, Year 1997.</w:t>
      </w:r>
      <w:r w:rsidR="005F016F">
        <w:t xml:space="preserve"> </w:t>
      </w:r>
      <w:r w:rsidRPr="001F123C">
        <w:t xml:space="preserve">Reserve capacity </w:t>
      </w:r>
      <w:proofErr w:type="gramStart"/>
      <w:r w:rsidRPr="001F123C">
        <w:t>can be ascribed</w:t>
      </w:r>
      <w:proofErr w:type="gramEnd"/>
      <w:r w:rsidRPr="001F123C">
        <w:t xml:space="preserve"> to the WLA, the LA or both. Inclusion of an allocation for reserve capacity is necessary in a number of situations where future loading </w:t>
      </w:r>
      <w:proofErr w:type="gramStart"/>
      <w:r w:rsidRPr="001F123C">
        <w:t>is anticipated</w:t>
      </w:r>
      <w:proofErr w:type="gramEnd"/>
      <w:r w:rsidRPr="001F123C">
        <w:t xml:space="preserve">. These situations </w:t>
      </w:r>
      <w:proofErr w:type="gramStart"/>
      <w:r w:rsidRPr="001F123C">
        <w:t>include:</w:t>
      </w:r>
      <w:proofErr w:type="gramEnd"/>
      <w:r w:rsidRPr="001F123C">
        <w:t xml:space="preserve"> new and expanding Wastewater Treatment Facilities (WWTFs); Municipal Separate Storm Sewer Systems (MS4s) that will be covered by a permit in the future or that are permitted now and may expand; or anticipated land use changes. If an allocation for reserve capacity is not included, either no new future loads are anticipated or allowed, or increased loads </w:t>
      </w:r>
      <w:proofErr w:type="gramStart"/>
      <w:r w:rsidRPr="001F123C">
        <w:t>must be accommodated</w:t>
      </w:r>
      <w:proofErr w:type="gramEnd"/>
      <w:r w:rsidRPr="001F123C">
        <w:t xml:space="preserve"> by pollutant trading. </w:t>
      </w:r>
      <w:r w:rsidR="005F016F">
        <w:rPr>
          <w:i/>
        </w:rPr>
        <w:t>Id.</w:t>
      </w:r>
    </w:p>
    <w:p w:rsidR="00BF1279" w:rsidRPr="001F123C" w:rsidRDefault="00BF1279" w:rsidP="00172DB8">
      <w:pPr>
        <w:pStyle w:val="ListParagraph"/>
        <w:spacing w:line="240" w:lineRule="auto"/>
        <w:ind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 xml:space="preserve">Reserve capacity </w:t>
      </w:r>
      <w:r w:rsidR="00D6758A">
        <w:t xml:space="preserve">to account for future increased industrial development and construction activity </w:t>
      </w:r>
      <w:proofErr w:type="gramStart"/>
      <w:r w:rsidRPr="001F123C">
        <w:t>was built</w:t>
      </w:r>
      <w:proofErr w:type="gramEnd"/>
      <w:r w:rsidRPr="001F123C">
        <w:t xml:space="preserve"> into the </w:t>
      </w:r>
      <w:r w:rsidR="00977DC6" w:rsidRPr="001F123C">
        <w:t xml:space="preserve">categorical </w:t>
      </w:r>
      <w:r w:rsidRPr="001F123C">
        <w:t xml:space="preserve">WLA </w:t>
      </w:r>
      <w:r w:rsidR="00D6758A">
        <w:t xml:space="preserve">assigned </w:t>
      </w:r>
      <w:r w:rsidR="00977DC6" w:rsidRPr="001F123C">
        <w:t xml:space="preserve">to industrial and construction stormwater </w:t>
      </w:r>
      <w:r w:rsidR="00D6758A">
        <w:t>in</w:t>
      </w:r>
      <w:r w:rsidRPr="001F123C">
        <w:t xml:space="preserve"> the proposed </w:t>
      </w:r>
      <w:r w:rsidR="00977DC6" w:rsidRPr="001F123C">
        <w:t>Little Rock Creek TMDL</w:t>
      </w:r>
      <w:r w:rsidRPr="001F123C">
        <w:t xml:space="preserve">. </w:t>
      </w:r>
      <w:r w:rsidR="00977DC6" w:rsidRPr="001F123C">
        <w:t xml:space="preserve">See Draft </w:t>
      </w:r>
      <w:r w:rsidR="00977DC6" w:rsidRPr="001F123C">
        <w:rPr>
          <w:i/>
        </w:rPr>
        <w:t xml:space="preserve">Little Rock Creek </w:t>
      </w:r>
      <w:r w:rsidR="005F016F">
        <w:rPr>
          <w:i/>
        </w:rPr>
        <w:t>TMDL</w:t>
      </w:r>
      <w:r w:rsidR="00977DC6" w:rsidRPr="001F123C">
        <w:t xml:space="preserve"> </w:t>
      </w:r>
      <w:r w:rsidR="000651C4">
        <w:t>at</w:t>
      </w:r>
      <w:r w:rsidR="00977DC6" w:rsidRPr="001F123C">
        <w:t xml:space="preserve"> 26.</w:t>
      </w:r>
    </w:p>
    <w:p w:rsidR="00BF1279" w:rsidRPr="001F123C" w:rsidRDefault="00BF1279" w:rsidP="00172DB8">
      <w:pPr>
        <w:pStyle w:val="ListParagraph"/>
        <w:autoSpaceDE w:val="0"/>
        <w:autoSpaceDN w:val="0"/>
        <w:adjustRightInd w:val="0"/>
        <w:spacing w:line="240" w:lineRule="auto"/>
        <w:ind w:hanging="360"/>
      </w:pPr>
    </w:p>
    <w:p w:rsidR="005F016F" w:rsidRDefault="00BF1279" w:rsidP="005F016F">
      <w:pPr>
        <w:pStyle w:val="ListParagraph"/>
        <w:numPr>
          <w:ilvl w:val="0"/>
          <w:numId w:val="1"/>
        </w:numPr>
        <w:autoSpaceDE w:val="0"/>
        <w:autoSpaceDN w:val="0"/>
        <w:adjustRightInd w:val="0"/>
        <w:spacing w:line="240" w:lineRule="auto"/>
        <w:ind w:left="720" w:hanging="360"/>
      </w:pPr>
      <w:r w:rsidRPr="001F123C">
        <w:lastRenderedPageBreak/>
        <w:t xml:space="preserve">Combining all of the components described above, a TMDL </w:t>
      </w:r>
      <w:proofErr w:type="gramStart"/>
      <w:r w:rsidRPr="001F123C">
        <w:t>may be expressed</w:t>
      </w:r>
      <w:proofErr w:type="gramEnd"/>
      <w:r w:rsidRPr="001F123C">
        <w:t xml:space="preserve"> as the equation</w:t>
      </w:r>
      <w:r w:rsidR="005F016F">
        <w:t xml:space="preserve">:  ∑WLA + ∑LA + MOS + RC = TMDL </w:t>
      </w:r>
      <w:r w:rsidR="005F016F" w:rsidRPr="007359B3">
        <w:t>(note: seasonal flow variations are considered throughout the TMDL development by using a load duration curve approach</w:t>
      </w:r>
      <w:r w:rsidR="005F016F">
        <w:t>).</w:t>
      </w:r>
    </w:p>
    <w:p w:rsidR="005F016F" w:rsidRDefault="005F016F" w:rsidP="005F016F">
      <w:pPr>
        <w:pStyle w:val="ListParagraph"/>
      </w:pPr>
    </w:p>
    <w:p w:rsidR="006960BA" w:rsidRPr="001F123C" w:rsidRDefault="005F016F" w:rsidP="006960BA">
      <w:pPr>
        <w:pStyle w:val="ListParagraph"/>
        <w:numPr>
          <w:ilvl w:val="0"/>
          <w:numId w:val="1"/>
        </w:numPr>
        <w:autoSpaceDE w:val="0"/>
        <w:autoSpaceDN w:val="0"/>
        <w:adjustRightInd w:val="0"/>
        <w:spacing w:line="240" w:lineRule="auto"/>
        <w:ind w:left="720" w:hanging="360"/>
      </w:pPr>
      <w:r w:rsidRPr="007359B3">
        <w:t xml:space="preserve">The </w:t>
      </w:r>
      <w:r w:rsidR="00615A3C">
        <w:t>propo</w:t>
      </w:r>
      <w:r w:rsidRPr="007359B3">
        <w:t>sed</w:t>
      </w:r>
      <w:r>
        <w:t xml:space="preserve"> Little Rock Creek</w:t>
      </w:r>
      <w:r w:rsidRPr="007359B3">
        <w:t xml:space="preserve"> TMDL is consistent with EPA guidance. The MPCA followed EPA protocols in calculating all components (i.e., WLA, LA, MOS and RC) of the EPA recommended approach for developing  </w:t>
      </w:r>
      <w:r w:rsidRPr="005F016F">
        <w:t xml:space="preserve">dissolved oxygen (DO), nutrient eutrophication (nitrates), temperature, and fish </w:t>
      </w:r>
      <w:proofErr w:type="spellStart"/>
      <w:r w:rsidRPr="005F016F">
        <w:t>bioassessment</w:t>
      </w:r>
      <w:proofErr w:type="spellEnd"/>
      <w:r w:rsidRPr="005F016F">
        <w:t xml:space="preserve"> impairments </w:t>
      </w:r>
      <w:r w:rsidR="00615A3C">
        <w:t>TMDLS.</w:t>
      </w:r>
      <w:r w:rsidR="006960BA">
        <w:t xml:space="preserve"> </w:t>
      </w:r>
      <w:proofErr w:type="gramStart"/>
      <w:r w:rsidR="006960BA" w:rsidRPr="006960BA">
        <w:rPr>
          <w:i/>
        </w:rPr>
        <w:t>Technical Guidance Manual for Developing Total Maximum Daily Loads: Book 2, Rivers and Streams; Part 1 Biochemical Oxygen Demand/DO and Nutrient Eutrophication</w:t>
      </w:r>
      <w:r w:rsidR="006960BA" w:rsidRPr="001F123C">
        <w:t xml:space="preserve">, EPA/823/B-97-002, Year 1997 </w:t>
      </w:r>
      <w:hyperlink r:id="rId15" w:history="1">
        <w:r w:rsidR="000F7989" w:rsidRPr="003375B2">
          <w:rPr>
            <w:rStyle w:val="Hyperlink"/>
          </w:rPr>
          <w:t>http://water.epa.gov/scitech/datait/models/upload/2006_12_05_standards_tmdl_guidance.pdf</w:t>
        </w:r>
      </w:hyperlink>
      <w:r w:rsidR="000F7989">
        <w:rPr>
          <w:i/>
        </w:rPr>
        <w:t>; P</w:t>
      </w:r>
      <w:r w:rsidR="006960BA" w:rsidRPr="006960BA">
        <w:rPr>
          <w:i/>
        </w:rPr>
        <w:t>rotocol for Developing Nutrient TMDLs</w:t>
      </w:r>
      <w:r w:rsidR="006960BA" w:rsidRPr="001F123C">
        <w:t>, EPA 841-B-99-007, Year 1999</w:t>
      </w:r>
      <w:r w:rsidR="006960BA">
        <w:t xml:space="preserve"> </w:t>
      </w:r>
      <w:hyperlink r:id="rId16" w:history="1">
        <w:r w:rsidR="006960BA" w:rsidRPr="0043630B">
          <w:rPr>
            <w:rStyle w:val="Hyperlink"/>
          </w:rPr>
          <w:t>http://water.epa.gov/lawsregs/lawsguidance/cwa/tmdl/upload/2000_01_10_tmdl_nutrient_nutrient.pdf</w:t>
        </w:r>
      </w:hyperlink>
      <w:r w:rsidR="006960BA">
        <w:t xml:space="preserve"> </w:t>
      </w:r>
      <w:r w:rsidR="006960BA" w:rsidRPr="001F123C">
        <w:t xml:space="preserve">; </w:t>
      </w:r>
      <w:r w:rsidR="006960BA" w:rsidRPr="006960BA">
        <w:rPr>
          <w:i/>
        </w:rPr>
        <w:t>Quality Criteria for Water</w:t>
      </w:r>
      <w:r w:rsidR="006960BA" w:rsidRPr="001F123C">
        <w:t>, EPA, Year 1986</w:t>
      </w:r>
      <w:r w:rsidR="006960BA">
        <w:t xml:space="preserve"> </w:t>
      </w:r>
      <w:hyperlink r:id="rId17" w:history="1">
        <w:r w:rsidR="006960BA" w:rsidRPr="0043630B">
          <w:rPr>
            <w:rStyle w:val="Hyperlink"/>
          </w:rPr>
          <w:t>http://water.epa.gov/scitech/swguidance/standards/criteria/aqlife/upload/2009_01_13_criteria_goldbook.pdf</w:t>
        </w:r>
      </w:hyperlink>
      <w:r w:rsidR="006960BA" w:rsidRPr="001F123C">
        <w:t>.</w:t>
      </w:r>
      <w:proofErr w:type="gramEnd"/>
    </w:p>
    <w:p w:rsidR="00607FB2" w:rsidRPr="001F123C" w:rsidRDefault="00607FB2" w:rsidP="00172DB8">
      <w:pPr>
        <w:pStyle w:val="ListParagraph"/>
        <w:spacing w:line="240" w:lineRule="auto"/>
      </w:pPr>
    </w:p>
    <w:p w:rsidR="00BF1279" w:rsidRPr="001F123C" w:rsidRDefault="00BF1279" w:rsidP="00172DB8">
      <w:pPr>
        <w:spacing w:line="240" w:lineRule="auto"/>
        <w:ind w:left="360"/>
        <w:rPr>
          <w:b/>
          <w:i/>
        </w:rPr>
      </w:pPr>
      <w:r w:rsidRPr="001F123C">
        <w:rPr>
          <w:b/>
          <w:i/>
        </w:rPr>
        <w:t xml:space="preserve">State guidance for developing TMDLs </w:t>
      </w:r>
    </w:p>
    <w:p w:rsidR="00BF1279" w:rsidRPr="001F123C" w:rsidRDefault="00BF1279" w:rsidP="00172DB8">
      <w:pPr>
        <w:pStyle w:val="ListParagraph"/>
        <w:spacing w:line="240" w:lineRule="auto"/>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In June 2009, MPCA formed a “Natural Background for Streams Workgroup” to develop an approach for considering natural background conditions when assessing streams for dissolved oxygen.</w:t>
      </w:r>
      <w:r w:rsidR="00A833D4">
        <w:t xml:space="preserve"> Similarly, i</w:t>
      </w:r>
      <w:r w:rsidR="007D1B90" w:rsidRPr="001F123C">
        <w:t>n June 2010, MPCA formed a workgroup to develop a</w:t>
      </w:r>
      <w:r w:rsidR="001B5155">
        <w:t>n approach for considering natural background conditions when assessing</w:t>
      </w:r>
      <w:r w:rsidR="007D1B90" w:rsidRPr="001F123C">
        <w:t xml:space="preserve"> lakes for eutrophication.</w:t>
      </w:r>
    </w:p>
    <w:p w:rsidR="007D1B90" w:rsidRPr="001F123C" w:rsidRDefault="007D1B90" w:rsidP="00172DB8">
      <w:pPr>
        <w:pStyle w:val="ListParagraph"/>
        <w:autoSpaceDE w:val="0"/>
        <w:autoSpaceDN w:val="0"/>
        <w:adjustRightInd w:val="0"/>
        <w:spacing w:line="240" w:lineRule="auto"/>
        <w:ind w:hanging="360"/>
      </w:pPr>
    </w:p>
    <w:p w:rsidR="000557AB" w:rsidRPr="001F123C" w:rsidRDefault="00A833D4" w:rsidP="00172DB8">
      <w:pPr>
        <w:pStyle w:val="ListParagraph"/>
        <w:numPr>
          <w:ilvl w:val="0"/>
          <w:numId w:val="1"/>
        </w:numPr>
        <w:autoSpaceDE w:val="0"/>
        <w:autoSpaceDN w:val="0"/>
        <w:adjustRightInd w:val="0"/>
        <w:spacing w:line="240" w:lineRule="auto"/>
        <w:ind w:left="720" w:hanging="360"/>
        <w:rPr>
          <w:rFonts w:eastAsia="Times New Roman" w:cs="Times New Roman"/>
        </w:rPr>
      </w:pPr>
      <w:r>
        <w:t>Based on the work of the two workgroups, t</w:t>
      </w:r>
      <w:r w:rsidR="00BF1279" w:rsidRPr="001F123C">
        <w:t xml:space="preserve">he MPCA </w:t>
      </w:r>
      <w:r>
        <w:t xml:space="preserve">developed and </w:t>
      </w:r>
      <w:r w:rsidR="00BF1279" w:rsidRPr="001F123C">
        <w:t xml:space="preserve">issued </w:t>
      </w:r>
      <w:r w:rsidR="00B715FF">
        <w:t>documents</w:t>
      </w:r>
      <w:r w:rsidR="00BF1279" w:rsidRPr="001F123C">
        <w:t xml:space="preserve"> related to the assessment of natural background in water quality:  Minnesota Pollution Control Agency, </w:t>
      </w:r>
      <w:r w:rsidR="00BF1279" w:rsidRPr="001F123C">
        <w:rPr>
          <w:i/>
          <w:iCs/>
        </w:rPr>
        <w:t xml:space="preserve">Natural Background and Water Quality: Guidance Document for Assessment of Aquatic Life Use Support, </w:t>
      </w:r>
      <w:r w:rsidR="00BF1279" w:rsidRPr="001F123C">
        <w:t xml:space="preserve">Doc. No. wq-s1-62 (2009), </w:t>
      </w:r>
      <w:hyperlink r:id="rId18" w:history="1">
        <w:r w:rsidR="00BF1279" w:rsidRPr="001F123C">
          <w:rPr>
            <w:rStyle w:val="Hyperlink"/>
          </w:rPr>
          <w:t>http://www.pca.state.mn.us/index.php/view-document.html?gid=8603</w:t>
        </w:r>
      </w:hyperlink>
      <w:r w:rsidR="00BF1279" w:rsidRPr="001F123C">
        <w:rPr>
          <w:rStyle w:val="Hyperlink"/>
        </w:rPr>
        <w:t>.</w:t>
      </w:r>
      <w:r w:rsidR="000557AB" w:rsidRPr="001F123C">
        <w:rPr>
          <w:rStyle w:val="Hyperlink"/>
        </w:rPr>
        <w:t xml:space="preserve"> </w:t>
      </w:r>
      <w:proofErr w:type="gramStart"/>
      <w:r w:rsidR="000557AB" w:rsidRPr="001F123C">
        <w:rPr>
          <w:rFonts w:eastAsia="Times New Roman" w:cs="Times New Roman"/>
        </w:rPr>
        <w:t xml:space="preserve">Minnesota Pollution Control Agency, </w:t>
      </w:r>
      <w:r w:rsidR="000557AB" w:rsidRPr="001F123C">
        <w:rPr>
          <w:rFonts w:eastAsia="Times New Roman" w:cs="Times New Roman"/>
          <w:i/>
          <w:iCs/>
        </w:rPr>
        <w:t>Guidance for Considering Natural Background When Assessing Lakes for Eutrophication.</w:t>
      </w:r>
      <w:proofErr w:type="gramEnd"/>
      <w:r w:rsidR="000557AB" w:rsidRPr="001F123C">
        <w:rPr>
          <w:rFonts w:eastAsia="Times New Roman" w:cs="Times New Roman"/>
          <w:i/>
          <w:iCs/>
        </w:rPr>
        <w:t xml:space="preserve"> </w:t>
      </w:r>
      <w:proofErr w:type="gramStart"/>
      <w:r w:rsidR="000557AB" w:rsidRPr="001F123C">
        <w:rPr>
          <w:rFonts w:eastAsia="Times New Roman" w:cs="Times New Roman"/>
        </w:rPr>
        <w:t xml:space="preserve">Document number wq-s1-63 (2011), </w:t>
      </w:r>
      <w:hyperlink r:id="rId19" w:history="1">
        <w:r w:rsidR="000557AB" w:rsidRPr="001F123C">
          <w:rPr>
            <w:rFonts w:eastAsia="Times New Roman" w:cs="Times New Roman"/>
            <w:color w:val="0000FF"/>
            <w:u w:val="single"/>
          </w:rPr>
          <w:t>http://www.pca.state.mn.us/index.php/view-document.html?gid=16325</w:t>
        </w:r>
      </w:hyperlink>
      <w:r w:rsidR="000557AB" w:rsidRPr="001F123C">
        <w:rPr>
          <w:rFonts w:eastAsia="Times New Roman" w:cs="Times New Roman"/>
          <w:color w:val="002060"/>
        </w:rPr>
        <w:t>.</w:t>
      </w:r>
      <w:proofErr w:type="gramEnd"/>
    </w:p>
    <w:p w:rsidR="00BF1279" w:rsidRPr="001F123C" w:rsidRDefault="00BF1279" w:rsidP="00172DB8">
      <w:pPr>
        <w:pStyle w:val="ListParagraph"/>
        <w:spacing w:line="240" w:lineRule="auto"/>
        <w:ind w:hanging="360"/>
      </w:pPr>
    </w:p>
    <w:p w:rsidR="00B40F8E" w:rsidRPr="001F123C" w:rsidRDefault="00B40F8E" w:rsidP="00172DB8">
      <w:pPr>
        <w:pStyle w:val="ListParagraph"/>
        <w:numPr>
          <w:ilvl w:val="0"/>
          <w:numId w:val="1"/>
        </w:numPr>
        <w:spacing w:line="240" w:lineRule="auto"/>
        <w:ind w:left="720" w:hanging="360"/>
      </w:pPr>
      <w:proofErr w:type="gramStart"/>
      <w:r w:rsidRPr="001F123C">
        <w:t>In addition to EPA</w:t>
      </w:r>
      <w:r w:rsidR="00B715FF">
        <w:t>’s</w:t>
      </w:r>
      <w:r w:rsidRPr="001F123C">
        <w:t xml:space="preserve"> guidance</w:t>
      </w:r>
      <w:r w:rsidR="00242C81">
        <w:t xml:space="preserve"> </w:t>
      </w:r>
      <w:r w:rsidR="00B715FF">
        <w:t xml:space="preserve">documents </w:t>
      </w:r>
      <w:r w:rsidR="00242C81">
        <w:t>on the topics of dissolved oxygen and biota assessments in TMDLs</w:t>
      </w:r>
      <w:r w:rsidR="000D7AD6" w:rsidRPr="001F123C">
        <w:t>,</w:t>
      </w:r>
      <w:r w:rsidRPr="001F123C">
        <w:t xml:space="preserve"> the MPCA developed “Dissolved Oxygen TMDL Protocols and Submittal Requirements” </w:t>
      </w:r>
      <w:r w:rsidR="00475EDA">
        <w:t>and</w:t>
      </w:r>
      <w:r w:rsidRPr="001F123C">
        <w:t xml:space="preserve"> “Biota TMDL Protocol and Submittal Requirements” guidance documents to further aid local entities in the development of TMDLs. Minnesota Pollution Control Agency, </w:t>
      </w:r>
      <w:r w:rsidRPr="001F123C">
        <w:rPr>
          <w:i/>
        </w:rPr>
        <w:t>Dissolved Oxygen TMDL Protocols and Submittal Requirements</w:t>
      </w:r>
      <w:r w:rsidR="0020415E">
        <w:t>, (2008),</w:t>
      </w:r>
      <w:r w:rsidRPr="001F123C">
        <w:t xml:space="preserve"> </w:t>
      </w:r>
      <w:hyperlink r:id="rId20" w:history="1">
        <w:r w:rsidR="0020415E" w:rsidRPr="0043630B">
          <w:rPr>
            <w:rStyle w:val="Hyperlink"/>
          </w:rPr>
          <w:t>http://www.pca.state.mn.us/index.php/view-document.html?gid=8529</w:t>
        </w:r>
      </w:hyperlink>
      <w:r w:rsidRPr="001F123C">
        <w:t xml:space="preserve">; Minnesota Pollution Control Agency, </w:t>
      </w:r>
      <w:r w:rsidRPr="001F123C">
        <w:rPr>
          <w:i/>
        </w:rPr>
        <w:t>Biota TMDL Protocols and Submittal Requirements</w:t>
      </w:r>
      <w:r w:rsidRPr="001F123C">
        <w:t xml:space="preserve">, (2008), </w:t>
      </w:r>
      <w:hyperlink r:id="rId21" w:history="1">
        <w:r w:rsidR="009F1EE0" w:rsidRPr="001F123C">
          <w:rPr>
            <w:rStyle w:val="Hyperlink"/>
          </w:rPr>
          <w:t>http://www.pca.state.mn.us/index.php/view-document.html?gid=8524</w:t>
        </w:r>
      </w:hyperlink>
      <w:r w:rsidRPr="001F123C">
        <w:t>.</w:t>
      </w:r>
      <w:proofErr w:type="gramEnd"/>
    </w:p>
    <w:p w:rsidR="009F1EE0" w:rsidRPr="001F123C" w:rsidRDefault="009F1EE0" w:rsidP="00172DB8">
      <w:pPr>
        <w:pStyle w:val="ListParagraph"/>
        <w:spacing w:line="240" w:lineRule="auto"/>
        <w:ind w:hanging="360"/>
      </w:pPr>
    </w:p>
    <w:p w:rsidR="00BF1279" w:rsidRPr="001F123C" w:rsidRDefault="00BF1279" w:rsidP="00172DB8">
      <w:pPr>
        <w:pStyle w:val="ListParagraph"/>
        <w:numPr>
          <w:ilvl w:val="0"/>
          <w:numId w:val="1"/>
        </w:numPr>
        <w:autoSpaceDE w:val="0"/>
        <w:autoSpaceDN w:val="0"/>
        <w:adjustRightInd w:val="0"/>
        <w:spacing w:line="240" w:lineRule="auto"/>
        <w:ind w:left="720" w:hanging="360"/>
      </w:pPr>
      <w:r w:rsidRPr="001F123C">
        <w:t>The MPCA followed the guidance and processes for setting a TMDL specified by the CWA, EPA guidance, state law and MPCA</w:t>
      </w:r>
      <w:r w:rsidR="00595113">
        <w:t>’s own policy</w:t>
      </w:r>
      <w:r w:rsidRPr="001F123C">
        <w:t xml:space="preserve"> in developing the </w:t>
      </w:r>
      <w:r w:rsidR="00464814" w:rsidRPr="001F123C">
        <w:t xml:space="preserve">Little Rock Creek </w:t>
      </w:r>
      <w:r w:rsidRPr="001F123C">
        <w:t>TMDL</w:t>
      </w:r>
      <w:r w:rsidR="00464814" w:rsidRPr="001F123C">
        <w:t>.</w:t>
      </w:r>
    </w:p>
    <w:p w:rsidR="0080594A" w:rsidRPr="001F123C" w:rsidRDefault="0080594A" w:rsidP="00172DB8">
      <w:pPr>
        <w:pStyle w:val="ListParagraph"/>
        <w:spacing w:line="240" w:lineRule="auto"/>
        <w:rPr>
          <w:rFonts w:eastAsia="Times New Roman" w:cs="Times New Roman"/>
        </w:rPr>
      </w:pPr>
    </w:p>
    <w:p w:rsidR="00982666" w:rsidRPr="001F123C" w:rsidRDefault="00982666" w:rsidP="00172DB8">
      <w:pPr>
        <w:tabs>
          <w:tab w:val="left" w:pos="385"/>
        </w:tabs>
        <w:autoSpaceDE w:val="0"/>
        <w:autoSpaceDN w:val="0"/>
        <w:adjustRightInd w:val="0"/>
        <w:spacing w:line="240" w:lineRule="auto"/>
        <w:rPr>
          <w:rFonts w:eastAsia="Times New Roman" w:cs="Times New Roman"/>
        </w:rPr>
      </w:pPr>
    </w:p>
    <w:p w:rsidR="00595113" w:rsidRDefault="00595113">
      <w:pPr>
        <w:rPr>
          <w:rFonts w:eastAsia="Times New Roman" w:cs="Times New Roman"/>
          <w:b/>
          <w:i/>
        </w:rPr>
      </w:pPr>
      <w:r>
        <w:rPr>
          <w:rFonts w:eastAsia="Times New Roman" w:cs="Times New Roman"/>
          <w:b/>
          <w:i/>
        </w:rPr>
        <w:br w:type="page"/>
      </w:r>
    </w:p>
    <w:p w:rsidR="00982666" w:rsidRPr="001F123C" w:rsidRDefault="00641462" w:rsidP="00172DB8">
      <w:pPr>
        <w:numPr>
          <w:ilvl w:val="0"/>
          <w:numId w:val="6"/>
        </w:numPr>
        <w:tabs>
          <w:tab w:val="left" w:pos="360"/>
        </w:tabs>
        <w:autoSpaceDE w:val="0"/>
        <w:autoSpaceDN w:val="0"/>
        <w:adjustRightInd w:val="0"/>
        <w:spacing w:line="240" w:lineRule="auto"/>
        <w:contextualSpacing/>
        <w:rPr>
          <w:rFonts w:eastAsia="Times New Roman" w:cs="Times New Roman"/>
          <w:b/>
          <w:bCs/>
          <w:i/>
        </w:rPr>
      </w:pPr>
      <w:r w:rsidRPr="001F123C">
        <w:rPr>
          <w:rFonts w:eastAsia="Times New Roman" w:cs="Times New Roman"/>
          <w:b/>
          <w:i/>
        </w:rPr>
        <w:lastRenderedPageBreak/>
        <w:t xml:space="preserve">Development of the </w:t>
      </w:r>
      <w:r w:rsidR="008D6999" w:rsidRPr="001F123C">
        <w:rPr>
          <w:rFonts w:eastAsia="Times New Roman" w:cs="Times New Roman"/>
          <w:b/>
          <w:bCs/>
          <w:i/>
        </w:rPr>
        <w:t>Little Rock Creek</w:t>
      </w:r>
      <w:r w:rsidR="00982666" w:rsidRPr="001F123C">
        <w:rPr>
          <w:rFonts w:eastAsia="Times New Roman" w:cs="Times New Roman"/>
          <w:b/>
          <w:bCs/>
          <w:i/>
        </w:rPr>
        <w:t xml:space="preserve"> </w:t>
      </w:r>
      <w:r w:rsidR="00CD6EAA" w:rsidRPr="001F123C">
        <w:rPr>
          <w:rFonts w:eastAsia="Times New Roman" w:cs="Times New Roman"/>
          <w:b/>
          <w:bCs/>
          <w:i/>
        </w:rPr>
        <w:t xml:space="preserve">Dissolved Oxygen, Nitrate, Temperature and Fish </w:t>
      </w:r>
      <w:proofErr w:type="spellStart"/>
      <w:r w:rsidR="00CD6EAA" w:rsidRPr="001F123C">
        <w:rPr>
          <w:rFonts w:eastAsia="Times New Roman" w:cs="Times New Roman"/>
          <w:b/>
          <w:bCs/>
          <w:i/>
        </w:rPr>
        <w:t>Bioassessment</w:t>
      </w:r>
      <w:proofErr w:type="spellEnd"/>
      <w:r w:rsidR="00982666" w:rsidRPr="001F123C">
        <w:rPr>
          <w:rFonts w:eastAsia="Times New Roman" w:cs="Times New Roman"/>
          <w:b/>
          <w:bCs/>
          <w:i/>
        </w:rPr>
        <w:t xml:space="preserve"> TMDL</w:t>
      </w:r>
    </w:p>
    <w:p w:rsidR="00982666" w:rsidRPr="001F123C" w:rsidRDefault="00982666" w:rsidP="00172DB8">
      <w:pPr>
        <w:tabs>
          <w:tab w:val="left" w:pos="5890"/>
        </w:tabs>
        <w:autoSpaceDE w:val="0"/>
        <w:autoSpaceDN w:val="0"/>
        <w:adjustRightInd w:val="0"/>
        <w:spacing w:line="240" w:lineRule="auto"/>
        <w:rPr>
          <w:rFonts w:eastAsia="Times New Roman" w:cs="Times New Roman"/>
        </w:rPr>
      </w:pPr>
    </w:p>
    <w:p w:rsidR="00232FD2" w:rsidRPr="001F123C" w:rsidRDefault="00982666"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The proposed TMDL study at issue in this case is the </w:t>
      </w:r>
      <w:r w:rsidR="008D6999" w:rsidRPr="001F123C">
        <w:rPr>
          <w:rFonts w:eastAsia="Times New Roman" w:cs="Times New Roman"/>
        </w:rPr>
        <w:t>Little Rock Creek</w:t>
      </w:r>
      <w:r w:rsidRPr="001F123C">
        <w:rPr>
          <w:rFonts w:eastAsia="Times New Roman" w:cs="Times New Roman"/>
        </w:rPr>
        <w:t xml:space="preserve"> </w:t>
      </w:r>
      <w:r w:rsidR="00CD6EAA" w:rsidRPr="001F123C">
        <w:rPr>
          <w:rFonts w:eastAsia="Times New Roman" w:cs="Times New Roman"/>
        </w:rPr>
        <w:t xml:space="preserve">Dissolved Oxygen, Nitrate, Temperature and Fish </w:t>
      </w:r>
      <w:proofErr w:type="spellStart"/>
      <w:r w:rsidR="00CD6EAA" w:rsidRPr="001F123C">
        <w:rPr>
          <w:rFonts w:eastAsia="Times New Roman" w:cs="Times New Roman"/>
        </w:rPr>
        <w:t>Bioassessment</w:t>
      </w:r>
      <w:proofErr w:type="spellEnd"/>
      <w:r w:rsidRPr="001F123C">
        <w:rPr>
          <w:rFonts w:eastAsia="Times New Roman" w:cs="Times New Roman"/>
        </w:rPr>
        <w:t xml:space="preserve"> TMDL study</w:t>
      </w:r>
      <w:r w:rsidR="003A3613" w:rsidRPr="001F123C">
        <w:rPr>
          <w:rFonts w:eastAsia="Times New Roman" w:cs="Times New Roman"/>
        </w:rPr>
        <w:t xml:space="preserve"> </w:t>
      </w:r>
      <w:proofErr w:type="gramStart"/>
      <w:r w:rsidR="003A3613" w:rsidRPr="001F123C">
        <w:rPr>
          <w:rFonts w:eastAsia="Times New Roman" w:cs="Times New Roman"/>
        </w:rPr>
        <w:t>which</w:t>
      </w:r>
      <w:proofErr w:type="gramEnd"/>
      <w:r w:rsidRPr="001F123C">
        <w:rPr>
          <w:rFonts w:eastAsia="Times New Roman" w:cs="Times New Roman"/>
        </w:rPr>
        <w:t xml:space="preserve"> encompasses two impaired reaches</w:t>
      </w:r>
      <w:r w:rsidR="00111556">
        <w:rPr>
          <w:rFonts w:eastAsia="Times New Roman" w:cs="Times New Roman"/>
        </w:rPr>
        <w:t xml:space="preserve"> (or WQLS)</w:t>
      </w:r>
      <w:r w:rsidR="009D020C" w:rsidRPr="001F123C">
        <w:rPr>
          <w:rFonts w:eastAsia="Times New Roman" w:cs="Times New Roman"/>
        </w:rPr>
        <w:t xml:space="preserve">; </w:t>
      </w:r>
      <w:r w:rsidR="006A68B5">
        <w:rPr>
          <w:rFonts w:eastAsia="Times New Roman" w:cs="Times New Roman"/>
        </w:rPr>
        <w:t>a segment of</w:t>
      </w:r>
      <w:r w:rsidR="009D020C" w:rsidRPr="001F123C">
        <w:rPr>
          <w:rFonts w:eastAsia="Times New Roman" w:cs="Times New Roman"/>
        </w:rPr>
        <w:t xml:space="preserve"> Little Rock Creek </w:t>
      </w:r>
      <w:r w:rsidR="00572CA1" w:rsidRPr="001F123C">
        <w:rPr>
          <w:rFonts w:eastAsia="Times New Roman" w:cs="Times New Roman"/>
        </w:rPr>
        <w:t>(07010201-548)</w:t>
      </w:r>
      <w:r w:rsidR="00A21955">
        <w:rPr>
          <w:rFonts w:eastAsia="Times New Roman" w:cs="Times New Roman"/>
        </w:rPr>
        <w:t xml:space="preserve">; </w:t>
      </w:r>
      <w:r w:rsidR="009D020C" w:rsidRPr="001F123C">
        <w:rPr>
          <w:rFonts w:eastAsia="Times New Roman" w:cs="Times New Roman"/>
        </w:rPr>
        <w:t xml:space="preserve">and </w:t>
      </w:r>
      <w:r w:rsidR="009F39B1" w:rsidRPr="001F123C">
        <w:rPr>
          <w:rFonts w:eastAsia="Times New Roman" w:cs="Times New Roman"/>
        </w:rPr>
        <w:t>Bunker Hill</w:t>
      </w:r>
      <w:r w:rsidR="009D020C" w:rsidRPr="001F123C">
        <w:rPr>
          <w:rFonts w:eastAsia="Times New Roman" w:cs="Times New Roman"/>
        </w:rPr>
        <w:t xml:space="preserve"> Creek</w:t>
      </w:r>
      <w:r w:rsidR="00C01ABB" w:rsidRPr="001F123C">
        <w:rPr>
          <w:rFonts w:eastAsia="Times New Roman" w:cs="Times New Roman"/>
        </w:rPr>
        <w:t xml:space="preserve"> (07010201-511)</w:t>
      </w:r>
      <w:r w:rsidR="009D020C" w:rsidRPr="001F123C">
        <w:rPr>
          <w:rFonts w:eastAsia="Times New Roman" w:cs="Times New Roman"/>
        </w:rPr>
        <w:t>, a</w:t>
      </w:r>
      <w:r w:rsidRPr="001F123C">
        <w:rPr>
          <w:rFonts w:eastAsia="Times New Roman" w:cs="Times New Roman"/>
        </w:rPr>
        <w:t xml:space="preserve"> major tributary to </w:t>
      </w:r>
      <w:r w:rsidR="009D020C" w:rsidRPr="001F123C">
        <w:rPr>
          <w:rFonts w:eastAsia="Times New Roman" w:cs="Times New Roman"/>
        </w:rPr>
        <w:t>Little Rock Creek</w:t>
      </w:r>
      <w:r w:rsidR="00126081">
        <w:rPr>
          <w:rFonts w:eastAsia="Times New Roman" w:cs="Times New Roman"/>
        </w:rPr>
        <w:t>.</w:t>
      </w:r>
      <w:r w:rsidRPr="001F123C">
        <w:rPr>
          <w:rFonts w:eastAsia="Times New Roman" w:cs="Times New Roman"/>
        </w:rPr>
        <w:t xml:space="preserve"> </w:t>
      </w:r>
      <w:r w:rsidR="0090317D" w:rsidRPr="0090317D">
        <w:rPr>
          <w:rFonts w:eastAsia="Times New Roman" w:cs="Times New Roman"/>
        </w:rPr>
        <w:t xml:space="preserve">See </w:t>
      </w:r>
      <w:r w:rsidR="0090317D" w:rsidRPr="0090317D">
        <w:rPr>
          <w:rFonts w:eastAsia="Times New Roman" w:cs="Times New Roman"/>
          <w:i/>
        </w:rPr>
        <w:t xml:space="preserve">Draft Little Rock Creek Watershed </w:t>
      </w:r>
      <w:r w:rsidR="005628EE">
        <w:rPr>
          <w:rFonts w:eastAsia="Times New Roman" w:cs="Times New Roman"/>
          <w:i/>
        </w:rPr>
        <w:t>TMDL</w:t>
      </w:r>
      <w:r w:rsidR="0090317D" w:rsidRPr="0090317D">
        <w:rPr>
          <w:rFonts w:eastAsia="Times New Roman" w:cs="Times New Roman"/>
        </w:rPr>
        <w:t>, Figure 1-1.</w:t>
      </w:r>
      <w:r w:rsidR="0090317D">
        <w:rPr>
          <w:rFonts w:eastAsia="Times New Roman" w:cs="Times New Roman"/>
        </w:rPr>
        <w:t xml:space="preserve"> </w:t>
      </w:r>
      <w:r w:rsidR="00232FD2" w:rsidRPr="001F123C">
        <w:rPr>
          <w:rFonts w:eastAsia="Times New Roman" w:cs="Times New Roman"/>
        </w:rPr>
        <w:t xml:space="preserve">Little Rock Creek is impaired for lack of </w:t>
      </w:r>
      <w:proofErr w:type="spellStart"/>
      <w:r w:rsidR="00232FD2" w:rsidRPr="001F123C">
        <w:rPr>
          <w:rFonts w:eastAsia="Times New Roman" w:cs="Times New Roman"/>
        </w:rPr>
        <w:t>coldwater</w:t>
      </w:r>
      <w:proofErr w:type="spellEnd"/>
      <w:r w:rsidR="00232FD2" w:rsidRPr="001F123C">
        <w:rPr>
          <w:rFonts w:eastAsia="Times New Roman" w:cs="Times New Roman"/>
        </w:rPr>
        <w:t xml:space="preserve"> fish assemblage</w:t>
      </w:r>
      <w:r w:rsidR="00A65940" w:rsidRPr="001F123C">
        <w:rPr>
          <w:rFonts w:eastAsia="Times New Roman" w:cs="Times New Roman"/>
        </w:rPr>
        <w:t>,</w:t>
      </w:r>
      <w:r w:rsidR="00232FD2" w:rsidRPr="001F123C">
        <w:rPr>
          <w:rFonts w:eastAsia="Times New Roman" w:cs="Times New Roman"/>
        </w:rPr>
        <w:t xml:space="preserve"> dissolved oxygen</w:t>
      </w:r>
      <w:r w:rsidR="00A65940" w:rsidRPr="001F123C">
        <w:rPr>
          <w:rFonts w:eastAsia="Times New Roman" w:cs="Times New Roman"/>
        </w:rPr>
        <w:t>,</w:t>
      </w:r>
      <w:r w:rsidR="00232FD2" w:rsidRPr="001F123C">
        <w:rPr>
          <w:rFonts w:eastAsia="Times New Roman" w:cs="Times New Roman"/>
        </w:rPr>
        <w:t xml:space="preserve"> and nitrates</w:t>
      </w:r>
      <w:r w:rsidR="002C72FF" w:rsidRPr="001F123C">
        <w:rPr>
          <w:rFonts w:eastAsia="Times New Roman" w:cs="Times New Roman"/>
        </w:rPr>
        <w:t xml:space="preserve"> in drinking water</w:t>
      </w:r>
      <w:r w:rsidR="00232FD2" w:rsidRPr="001F123C">
        <w:rPr>
          <w:rFonts w:eastAsia="Times New Roman" w:cs="Times New Roman"/>
        </w:rPr>
        <w:t>.</w:t>
      </w:r>
      <w:r w:rsidR="00EA3FCD" w:rsidRPr="001F123C">
        <w:rPr>
          <w:rFonts w:eastAsia="Times New Roman" w:cs="Times New Roman"/>
        </w:rPr>
        <w:t xml:space="preserve"> </w:t>
      </w:r>
      <w:r w:rsidR="009F39B1" w:rsidRPr="001F123C">
        <w:rPr>
          <w:rFonts w:eastAsia="Times New Roman" w:cs="Times New Roman"/>
        </w:rPr>
        <w:t>Bunker Hill</w:t>
      </w:r>
      <w:r w:rsidR="00EA3FCD" w:rsidRPr="001F123C">
        <w:rPr>
          <w:rFonts w:eastAsia="Times New Roman" w:cs="Times New Roman"/>
        </w:rPr>
        <w:t xml:space="preserve"> Creek </w:t>
      </w:r>
      <w:r w:rsidR="00A65940" w:rsidRPr="001F123C">
        <w:rPr>
          <w:rFonts w:eastAsia="Times New Roman" w:cs="Times New Roman"/>
        </w:rPr>
        <w:t>is</w:t>
      </w:r>
      <w:r w:rsidR="00EA3FCD" w:rsidRPr="001F123C">
        <w:rPr>
          <w:rFonts w:eastAsia="Times New Roman" w:cs="Times New Roman"/>
        </w:rPr>
        <w:t xml:space="preserve"> impaired for nitrates</w:t>
      </w:r>
      <w:r w:rsidR="002C72FF" w:rsidRPr="001F123C">
        <w:rPr>
          <w:rFonts w:eastAsia="Times New Roman" w:cs="Times New Roman"/>
        </w:rPr>
        <w:t xml:space="preserve"> in drinking water</w:t>
      </w:r>
      <w:r w:rsidR="00EA3FCD" w:rsidRPr="001F123C">
        <w:rPr>
          <w:rFonts w:eastAsia="Times New Roman" w:cs="Times New Roman"/>
        </w:rPr>
        <w:t>.</w:t>
      </w:r>
      <w:r w:rsidR="00494F91">
        <w:rPr>
          <w:rFonts w:eastAsia="Times New Roman" w:cs="Times New Roman"/>
        </w:rPr>
        <w:t xml:space="preserve"> </w:t>
      </w:r>
      <w:r w:rsidR="00494F91" w:rsidRPr="001F123C">
        <w:rPr>
          <w:rFonts w:eastAsia="Times New Roman" w:cs="Times New Roman"/>
          <w:i/>
        </w:rPr>
        <w:t xml:space="preserve">2014 Proposed Impaired Waters List, </w:t>
      </w:r>
      <w:r w:rsidR="00494F91" w:rsidRPr="001F123C">
        <w:rPr>
          <w:rFonts w:eastAsia="Times New Roman" w:cs="Times New Roman"/>
        </w:rPr>
        <w:t>MPCA (2014)</w:t>
      </w:r>
    </w:p>
    <w:p w:rsidR="00982666" w:rsidRPr="001F123C" w:rsidRDefault="00982666" w:rsidP="00172DB8">
      <w:pPr>
        <w:tabs>
          <w:tab w:val="left" w:pos="385"/>
        </w:tabs>
        <w:autoSpaceDE w:val="0"/>
        <w:autoSpaceDN w:val="0"/>
        <w:adjustRightInd w:val="0"/>
        <w:spacing w:line="240" w:lineRule="auto"/>
        <w:ind w:left="720" w:hanging="360"/>
        <w:rPr>
          <w:rFonts w:eastAsia="Times New Roman" w:cs="Times New Roman"/>
        </w:rPr>
      </w:pPr>
    </w:p>
    <w:p w:rsidR="00853E83" w:rsidRPr="001F123C" w:rsidRDefault="00982666" w:rsidP="00172DB8">
      <w:pPr>
        <w:numPr>
          <w:ilvl w:val="0"/>
          <w:numId w:val="1"/>
        </w:numPr>
        <w:autoSpaceDE w:val="0"/>
        <w:autoSpaceDN w:val="0"/>
        <w:adjustRightInd w:val="0"/>
        <w:spacing w:line="240" w:lineRule="auto"/>
        <w:ind w:left="720" w:hanging="360"/>
        <w:contextualSpacing/>
        <w:rPr>
          <w:rFonts w:eastAsia="Times New Roman" w:cs="Times New Roman"/>
        </w:rPr>
      </w:pPr>
      <w:proofErr w:type="gramStart"/>
      <w:r w:rsidRPr="001F123C">
        <w:rPr>
          <w:rFonts w:eastAsia="Times New Roman" w:cs="Times New Roman"/>
        </w:rPr>
        <w:t>The specific objective</w:t>
      </w:r>
      <w:r w:rsidR="00133CBE" w:rsidRPr="001F123C">
        <w:rPr>
          <w:rFonts w:eastAsia="Times New Roman" w:cs="Times New Roman"/>
        </w:rPr>
        <w:t xml:space="preserve"> of the Little Rock Creek</w:t>
      </w:r>
      <w:r w:rsidRPr="001F123C">
        <w:rPr>
          <w:rFonts w:eastAsia="Times New Roman" w:cs="Times New Roman"/>
        </w:rPr>
        <w:t xml:space="preserve"> TMDL is to determine the type and degree of pollutant source reductions needed to achieve the water quality standard</w:t>
      </w:r>
      <w:r w:rsidR="000F77C5" w:rsidRPr="001F123C">
        <w:rPr>
          <w:rFonts w:eastAsia="Times New Roman" w:cs="Times New Roman"/>
        </w:rPr>
        <w:t>s</w:t>
      </w:r>
      <w:r w:rsidRPr="001F123C">
        <w:rPr>
          <w:rFonts w:eastAsia="Times New Roman" w:cs="Times New Roman"/>
        </w:rPr>
        <w:t xml:space="preserve"> of </w:t>
      </w:r>
      <w:r w:rsidR="009D020C" w:rsidRPr="001F123C">
        <w:rPr>
          <w:rFonts w:eastAsia="Times New Roman" w:cs="Times New Roman"/>
        </w:rPr>
        <w:t>7 mg/L dissolved oxygen</w:t>
      </w:r>
      <w:r w:rsidR="00853E83" w:rsidRPr="001F123C">
        <w:rPr>
          <w:rFonts w:eastAsia="Times New Roman" w:cs="Times New Roman"/>
        </w:rPr>
        <w:t xml:space="preserve"> as </w:t>
      </w:r>
      <w:r w:rsidR="00F66E90" w:rsidRPr="001F123C">
        <w:rPr>
          <w:rFonts w:eastAsia="Times New Roman" w:cs="Times New Roman"/>
        </w:rPr>
        <w:t>a</w:t>
      </w:r>
      <w:r w:rsidR="00853E83" w:rsidRPr="001F123C">
        <w:rPr>
          <w:rFonts w:eastAsia="Times New Roman" w:cs="Times New Roman"/>
        </w:rPr>
        <w:t xml:space="preserve"> daily minimum</w:t>
      </w:r>
      <w:r w:rsidR="004F62F6">
        <w:rPr>
          <w:rFonts w:eastAsia="Times New Roman" w:cs="Times New Roman"/>
        </w:rPr>
        <w:t xml:space="preserve"> (Minn. R. 7050.0222, </w:t>
      </w:r>
      <w:proofErr w:type="spellStart"/>
      <w:r w:rsidR="004F62F6">
        <w:rPr>
          <w:rFonts w:eastAsia="Times New Roman" w:cs="Times New Roman"/>
        </w:rPr>
        <w:t>subp</w:t>
      </w:r>
      <w:proofErr w:type="spellEnd"/>
      <w:r w:rsidR="004F62F6">
        <w:rPr>
          <w:rFonts w:eastAsia="Times New Roman" w:cs="Times New Roman"/>
        </w:rPr>
        <w:t>. 2)</w:t>
      </w:r>
      <w:r w:rsidR="006E610A" w:rsidRPr="001F123C">
        <w:rPr>
          <w:rFonts w:eastAsia="Times New Roman" w:cs="Times New Roman"/>
        </w:rPr>
        <w:t xml:space="preserve">, 10 mg/L nitrate </w:t>
      </w:r>
      <w:r w:rsidR="0016245F" w:rsidRPr="001F123C">
        <w:rPr>
          <w:rFonts w:eastAsia="Times New Roman" w:cs="Times New Roman"/>
        </w:rPr>
        <w:t>for drinking water</w:t>
      </w:r>
      <w:r w:rsidR="004F62F6">
        <w:rPr>
          <w:rFonts w:eastAsia="Times New Roman" w:cs="Times New Roman"/>
        </w:rPr>
        <w:t>(</w:t>
      </w:r>
      <w:r w:rsidR="004F62F6">
        <w:t xml:space="preserve">Minn. R. </w:t>
      </w:r>
      <w:r w:rsidR="004F62F6" w:rsidRPr="001F123C">
        <w:t xml:space="preserve">4717.7860, </w:t>
      </w:r>
      <w:proofErr w:type="spellStart"/>
      <w:r w:rsidR="004F62F6" w:rsidRPr="001F123C">
        <w:t>subp</w:t>
      </w:r>
      <w:proofErr w:type="spellEnd"/>
      <w:r w:rsidR="004F62F6" w:rsidRPr="001F123C">
        <w:t>. 13</w:t>
      </w:r>
      <w:r w:rsidR="004F62F6">
        <w:rPr>
          <w:rFonts w:eastAsia="Times New Roman" w:cs="Times New Roman"/>
        </w:rPr>
        <w:t>),</w:t>
      </w:r>
      <w:r w:rsidR="0016245F" w:rsidRPr="001F123C">
        <w:rPr>
          <w:rFonts w:eastAsia="Times New Roman" w:cs="Times New Roman"/>
        </w:rPr>
        <w:t xml:space="preserve"> </w:t>
      </w:r>
      <w:r w:rsidR="006E610A" w:rsidRPr="001F123C">
        <w:rPr>
          <w:rFonts w:eastAsia="Times New Roman" w:cs="Times New Roman"/>
        </w:rPr>
        <w:t>and 19</w:t>
      </w:r>
      <w:r w:rsidR="009D020C" w:rsidRPr="001F123C">
        <w:rPr>
          <w:rFonts w:eastAsia="Times New Roman" w:cs="Times New Roman"/>
        </w:rPr>
        <w:t>°C temperature</w:t>
      </w:r>
      <w:r w:rsidRPr="001F123C">
        <w:rPr>
          <w:rFonts w:eastAsia="Times New Roman" w:cs="Times New Roman"/>
        </w:rPr>
        <w:t xml:space="preserve"> at each of the impaired reaches</w:t>
      </w:r>
      <w:r w:rsidR="004F62F6">
        <w:rPr>
          <w:rFonts w:eastAsia="Times New Roman" w:cs="Times New Roman"/>
        </w:rPr>
        <w:t xml:space="preserve"> (Minn. R. 7050.0222, </w:t>
      </w:r>
      <w:proofErr w:type="spellStart"/>
      <w:r w:rsidR="004F62F6">
        <w:rPr>
          <w:rFonts w:eastAsia="Times New Roman" w:cs="Times New Roman"/>
        </w:rPr>
        <w:t>subp</w:t>
      </w:r>
      <w:proofErr w:type="spellEnd"/>
      <w:r w:rsidR="004F62F6">
        <w:rPr>
          <w:rFonts w:eastAsia="Times New Roman" w:cs="Times New Roman"/>
        </w:rPr>
        <w:t>. 2)</w:t>
      </w:r>
      <w:r w:rsidR="00133CBE" w:rsidRPr="001F123C">
        <w:rPr>
          <w:rFonts w:eastAsia="Times New Roman" w:cs="Times New Roman"/>
        </w:rPr>
        <w:t>.</w:t>
      </w:r>
      <w:proofErr w:type="gramEnd"/>
      <w:r w:rsidRPr="001F123C">
        <w:rPr>
          <w:rFonts w:eastAsia="Times New Roman" w:cs="Times New Roman"/>
        </w:rPr>
        <w:t xml:space="preserve"> </w:t>
      </w:r>
      <w:r w:rsidR="00853E83" w:rsidRPr="001F123C">
        <w:rPr>
          <w:rFonts w:eastAsia="Times New Roman" w:cs="Times New Roman"/>
        </w:rPr>
        <w:t xml:space="preserve"> </w:t>
      </w:r>
    </w:p>
    <w:p w:rsidR="00853E83" w:rsidRPr="001F123C" w:rsidRDefault="00853E83" w:rsidP="00172DB8">
      <w:pPr>
        <w:pStyle w:val="ListParagraph"/>
        <w:spacing w:line="240" w:lineRule="auto"/>
        <w:ind w:hanging="360"/>
        <w:rPr>
          <w:rFonts w:eastAsia="Times New Roman" w:cs="Times New Roman"/>
        </w:rPr>
      </w:pPr>
    </w:p>
    <w:p w:rsidR="0026001F" w:rsidRPr="001F123C" w:rsidRDefault="00853E83"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MPCA staff began working with Benton and Morrison County Soil </w:t>
      </w:r>
      <w:r w:rsidR="004872AA" w:rsidRPr="001F123C">
        <w:rPr>
          <w:rFonts w:eastAsia="Times New Roman" w:cs="Times New Roman"/>
        </w:rPr>
        <w:t>and</w:t>
      </w:r>
      <w:r w:rsidRPr="001F123C">
        <w:rPr>
          <w:rFonts w:eastAsia="Times New Roman" w:cs="Times New Roman"/>
        </w:rPr>
        <w:t xml:space="preserve"> Water Conservation Districts (SWCDs) on </w:t>
      </w:r>
      <w:r w:rsidR="00232FD2" w:rsidRPr="001F123C">
        <w:rPr>
          <w:rFonts w:eastAsia="Times New Roman" w:cs="Times New Roman"/>
        </w:rPr>
        <w:t xml:space="preserve">Phase I of </w:t>
      </w:r>
      <w:r w:rsidR="004872AA" w:rsidRPr="001F123C">
        <w:rPr>
          <w:rFonts w:eastAsia="Times New Roman" w:cs="Times New Roman"/>
        </w:rPr>
        <w:t>the Little Rock Creek</w:t>
      </w:r>
      <w:r w:rsidRPr="001F123C">
        <w:rPr>
          <w:rFonts w:eastAsia="Times New Roman" w:cs="Times New Roman"/>
        </w:rPr>
        <w:t xml:space="preserve"> TMDL study in </w:t>
      </w:r>
      <w:r w:rsidR="0016245F" w:rsidRPr="001F123C">
        <w:rPr>
          <w:rFonts w:eastAsia="Times New Roman" w:cs="Times New Roman"/>
        </w:rPr>
        <w:t>2002</w:t>
      </w:r>
      <w:r w:rsidRPr="001F123C">
        <w:rPr>
          <w:rFonts w:eastAsia="Times New Roman" w:cs="Times New Roman"/>
        </w:rPr>
        <w:t xml:space="preserve">. </w:t>
      </w:r>
      <w:r w:rsidR="00232FD2" w:rsidRPr="001F123C">
        <w:rPr>
          <w:rFonts w:eastAsia="Times New Roman" w:cs="Times New Roman"/>
        </w:rPr>
        <w:t>Phase II (</w:t>
      </w:r>
      <w:r w:rsidR="000D7641">
        <w:rPr>
          <w:rFonts w:eastAsia="Times New Roman" w:cs="Times New Roman"/>
        </w:rPr>
        <w:t>s</w:t>
      </w:r>
      <w:r w:rsidR="00232FD2" w:rsidRPr="001F123C">
        <w:rPr>
          <w:rFonts w:eastAsia="Times New Roman" w:cs="Times New Roman"/>
        </w:rPr>
        <w:t xml:space="preserve">tressor </w:t>
      </w:r>
      <w:r w:rsidR="000D7641">
        <w:rPr>
          <w:rFonts w:eastAsia="Times New Roman" w:cs="Times New Roman"/>
        </w:rPr>
        <w:t>i</w:t>
      </w:r>
      <w:r w:rsidR="00232FD2" w:rsidRPr="001F123C">
        <w:rPr>
          <w:rFonts w:eastAsia="Times New Roman" w:cs="Times New Roman"/>
        </w:rPr>
        <w:t>dentification development) began in 2006 and Phase III (TMDL development) began in 2010</w:t>
      </w:r>
      <w:r w:rsidR="006E675B" w:rsidRPr="001F123C">
        <w:rPr>
          <w:rFonts w:eastAsia="Times New Roman" w:cs="Times New Roman"/>
        </w:rPr>
        <w:t xml:space="preserve"> after a Request for Proposals (RFP) was developed and sent to potential consultants</w:t>
      </w:r>
      <w:r w:rsidR="00232FD2" w:rsidRPr="001F123C">
        <w:rPr>
          <w:rFonts w:eastAsia="Times New Roman" w:cs="Times New Roman"/>
        </w:rPr>
        <w:t>.</w:t>
      </w:r>
    </w:p>
    <w:p w:rsidR="006E675B" w:rsidRPr="001F123C" w:rsidRDefault="006E675B" w:rsidP="00172DB8">
      <w:pPr>
        <w:pStyle w:val="ListParagraph"/>
        <w:spacing w:line="240" w:lineRule="auto"/>
        <w:ind w:hanging="360"/>
        <w:rPr>
          <w:rFonts w:eastAsia="Times New Roman" w:cs="Times New Roman"/>
        </w:rPr>
      </w:pPr>
    </w:p>
    <w:p w:rsidR="006E675B" w:rsidRPr="001F123C" w:rsidRDefault="004872AA"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MPCA created a </w:t>
      </w:r>
      <w:r w:rsidR="006E675B" w:rsidRPr="001F123C">
        <w:rPr>
          <w:rFonts w:eastAsia="Times New Roman" w:cs="Times New Roman"/>
        </w:rPr>
        <w:t xml:space="preserve">Little Rock Creek Technical Advisory Committee </w:t>
      </w:r>
      <w:r w:rsidRPr="001F123C">
        <w:rPr>
          <w:rFonts w:eastAsia="Times New Roman" w:cs="Times New Roman"/>
        </w:rPr>
        <w:t xml:space="preserve">(TAC) </w:t>
      </w:r>
      <w:r w:rsidR="00127F27">
        <w:rPr>
          <w:rFonts w:eastAsia="Times New Roman" w:cs="Times New Roman"/>
        </w:rPr>
        <w:t>that</w:t>
      </w:r>
      <w:r w:rsidRPr="001F123C">
        <w:rPr>
          <w:rFonts w:eastAsia="Times New Roman" w:cs="Times New Roman"/>
        </w:rPr>
        <w:t xml:space="preserve"> </w:t>
      </w:r>
      <w:r w:rsidR="006E675B" w:rsidRPr="001F123C">
        <w:rPr>
          <w:rFonts w:eastAsia="Times New Roman" w:cs="Times New Roman"/>
        </w:rPr>
        <w:t xml:space="preserve">reviewed and scored the Phase III proposals. Barr Engineering Inc. </w:t>
      </w:r>
      <w:proofErr w:type="gramStart"/>
      <w:r w:rsidR="006E675B" w:rsidRPr="001F123C">
        <w:rPr>
          <w:rFonts w:eastAsia="Times New Roman" w:cs="Times New Roman"/>
        </w:rPr>
        <w:t>was selected</w:t>
      </w:r>
      <w:proofErr w:type="gramEnd"/>
      <w:r w:rsidR="006E675B" w:rsidRPr="001F123C">
        <w:rPr>
          <w:rFonts w:eastAsia="Times New Roman" w:cs="Times New Roman"/>
        </w:rPr>
        <w:t xml:space="preserve"> to conduct the modeling and develop the TMDL.</w:t>
      </w:r>
    </w:p>
    <w:p w:rsidR="0026001F" w:rsidRPr="001F123C" w:rsidRDefault="0026001F" w:rsidP="00172DB8">
      <w:pPr>
        <w:pStyle w:val="ListParagraph"/>
        <w:spacing w:line="240" w:lineRule="auto"/>
        <w:ind w:hanging="360"/>
        <w:rPr>
          <w:rFonts w:eastAsia="Times New Roman" w:cs="Times New Roman"/>
        </w:rPr>
      </w:pPr>
    </w:p>
    <w:p w:rsidR="0026001F" w:rsidRPr="001F123C" w:rsidRDefault="00F66E90"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Cooperatively, </w:t>
      </w:r>
      <w:r w:rsidR="0026001F" w:rsidRPr="001F123C">
        <w:rPr>
          <w:rFonts w:eastAsia="Times New Roman" w:cs="Times New Roman"/>
        </w:rPr>
        <w:t>MP</w:t>
      </w:r>
      <w:r w:rsidR="000F77C5" w:rsidRPr="001F123C">
        <w:rPr>
          <w:rFonts w:eastAsia="Times New Roman" w:cs="Times New Roman"/>
        </w:rPr>
        <w:t>CA, Benton SWCD staff and Barr E</w:t>
      </w:r>
      <w:r w:rsidR="0026001F" w:rsidRPr="001F123C">
        <w:rPr>
          <w:rFonts w:eastAsia="Times New Roman" w:cs="Times New Roman"/>
        </w:rPr>
        <w:t>ngineering, Inc.</w:t>
      </w:r>
      <w:r w:rsidR="00D76DBE">
        <w:rPr>
          <w:rFonts w:eastAsia="Times New Roman" w:cs="Times New Roman"/>
        </w:rPr>
        <w:t>,</w:t>
      </w:r>
      <w:r w:rsidR="0026001F" w:rsidRPr="001F123C">
        <w:rPr>
          <w:rFonts w:eastAsia="Times New Roman" w:cs="Times New Roman"/>
        </w:rPr>
        <w:t xml:space="preserve"> in conjunction with the Little Rock Creek Technical Advisory Committee</w:t>
      </w:r>
      <w:r w:rsidR="00D76DBE">
        <w:rPr>
          <w:rFonts w:eastAsia="Times New Roman" w:cs="Times New Roman"/>
        </w:rPr>
        <w:t>, and</w:t>
      </w:r>
      <w:r w:rsidR="000F77C5" w:rsidRPr="001F123C">
        <w:rPr>
          <w:rFonts w:eastAsia="Times New Roman" w:cs="Times New Roman"/>
        </w:rPr>
        <w:t xml:space="preserve"> other local, state and federal entities,</w:t>
      </w:r>
      <w:r w:rsidR="0026001F" w:rsidRPr="001F123C">
        <w:rPr>
          <w:rFonts w:eastAsia="Times New Roman" w:cs="Times New Roman"/>
        </w:rPr>
        <w:t xml:space="preserve"> developed the Little Rock Creek TMDL work plan (Phase III). </w:t>
      </w:r>
    </w:p>
    <w:p w:rsidR="00232FD2" w:rsidRPr="001F123C" w:rsidRDefault="00232FD2" w:rsidP="00172DB8">
      <w:pPr>
        <w:pStyle w:val="ListParagraph"/>
        <w:spacing w:line="240" w:lineRule="auto"/>
        <w:ind w:hanging="360"/>
        <w:rPr>
          <w:rFonts w:eastAsia="Times New Roman" w:cs="Times New Roman"/>
        </w:rPr>
      </w:pPr>
    </w:p>
    <w:p w:rsidR="00982666" w:rsidRPr="001F123C" w:rsidRDefault="00982666"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The draft </w:t>
      </w:r>
      <w:r w:rsidR="008D6999" w:rsidRPr="001F123C">
        <w:rPr>
          <w:rFonts w:eastAsia="Times New Roman" w:cs="Times New Roman"/>
        </w:rPr>
        <w:t>Little Rock Creek</w:t>
      </w:r>
      <w:r w:rsidRPr="001F123C">
        <w:rPr>
          <w:rFonts w:eastAsia="Times New Roman" w:cs="Times New Roman"/>
        </w:rPr>
        <w:t xml:space="preserve"> TMDL study </w:t>
      </w:r>
      <w:proofErr w:type="gramStart"/>
      <w:r w:rsidRPr="001F123C">
        <w:rPr>
          <w:rFonts w:eastAsia="Times New Roman" w:cs="Times New Roman"/>
        </w:rPr>
        <w:t>was developed</w:t>
      </w:r>
      <w:proofErr w:type="gramEnd"/>
      <w:r w:rsidRPr="001F123C">
        <w:rPr>
          <w:rFonts w:eastAsia="Times New Roman" w:cs="Times New Roman"/>
        </w:rPr>
        <w:t xml:space="preserve"> in a manner consistent with EPA guidance, MPCA protocol, and previous EPA approved </w:t>
      </w:r>
      <w:r w:rsidR="009D020C" w:rsidRPr="001F123C">
        <w:rPr>
          <w:rFonts w:eastAsia="Times New Roman" w:cs="Times New Roman"/>
        </w:rPr>
        <w:t xml:space="preserve">Dissolved Oxygen, </w:t>
      </w:r>
      <w:r w:rsidR="00BF411E" w:rsidRPr="001F123C">
        <w:rPr>
          <w:rFonts w:eastAsia="Times New Roman" w:cs="Times New Roman"/>
        </w:rPr>
        <w:t>nitrate and temperature</w:t>
      </w:r>
      <w:r w:rsidRPr="001F123C">
        <w:rPr>
          <w:rFonts w:eastAsia="Times New Roman" w:cs="Times New Roman"/>
        </w:rPr>
        <w:t xml:space="preserve"> TMDLs.    </w:t>
      </w:r>
    </w:p>
    <w:p w:rsidR="00982666" w:rsidRPr="001F123C" w:rsidRDefault="00982666" w:rsidP="00172DB8">
      <w:pPr>
        <w:autoSpaceDE w:val="0"/>
        <w:autoSpaceDN w:val="0"/>
        <w:adjustRightInd w:val="0"/>
        <w:spacing w:line="240" w:lineRule="auto"/>
        <w:rPr>
          <w:rFonts w:eastAsia="Times New Roman" w:cs="Times New Roman"/>
        </w:rPr>
      </w:pPr>
    </w:p>
    <w:p w:rsidR="004872AA" w:rsidRPr="001F123C" w:rsidRDefault="004872AA" w:rsidP="00172DB8">
      <w:pPr>
        <w:pStyle w:val="ListParagraph"/>
        <w:autoSpaceDE w:val="0"/>
        <w:autoSpaceDN w:val="0"/>
        <w:adjustRightInd w:val="0"/>
        <w:spacing w:line="240" w:lineRule="auto"/>
        <w:ind w:left="360"/>
        <w:rPr>
          <w:b/>
          <w:bCs/>
          <w:i/>
        </w:rPr>
      </w:pPr>
      <w:r w:rsidRPr="001F123C">
        <w:rPr>
          <w:b/>
          <w:bCs/>
          <w:i/>
        </w:rPr>
        <w:t xml:space="preserve">Stakeholder involvement, </w:t>
      </w:r>
      <w:r w:rsidR="008C474F" w:rsidRPr="001F123C">
        <w:rPr>
          <w:b/>
          <w:bCs/>
          <w:i/>
        </w:rPr>
        <w:t xml:space="preserve">EPA review, </w:t>
      </w:r>
      <w:r w:rsidRPr="001F123C">
        <w:rPr>
          <w:b/>
          <w:bCs/>
          <w:i/>
        </w:rPr>
        <w:t>Public Notice and comment period</w:t>
      </w:r>
    </w:p>
    <w:p w:rsidR="004872AA" w:rsidRPr="001F123C" w:rsidRDefault="004872AA" w:rsidP="00172DB8">
      <w:pPr>
        <w:autoSpaceDE w:val="0"/>
        <w:autoSpaceDN w:val="0"/>
        <w:adjustRightInd w:val="0"/>
        <w:spacing w:line="240" w:lineRule="auto"/>
        <w:rPr>
          <w:rFonts w:eastAsia="Times New Roman" w:cs="Times New Roman"/>
        </w:rPr>
      </w:pPr>
    </w:p>
    <w:p w:rsidR="001823C3" w:rsidRDefault="00982666" w:rsidP="001823C3">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EPA advise</w:t>
      </w:r>
      <w:r w:rsidR="002C1421" w:rsidRPr="001F123C">
        <w:rPr>
          <w:rFonts w:eastAsia="Times New Roman" w:cs="Times New Roman"/>
        </w:rPr>
        <w:t>s</w:t>
      </w:r>
      <w:r w:rsidRPr="001F123C">
        <w:rPr>
          <w:rFonts w:eastAsia="Times New Roman" w:cs="Times New Roman"/>
        </w:rPr>
        <w:t xml:space="preserve"> that</w:t>
      </w:r>
      <w:r w:rsidR="00AB1615">
        <w:rPr>
          <w:rFonts w:eastAsia="Times New Roman" w:cs="Times New Roman"/>
        </w:rPr>
        <w:t>,</w:t>
      </w:r>
      <w:r w:rsidRPr="001F123C">
        <w:rPr>
          <w:rFonts w:eastAsia="Times New Roman" w:cs="Times New Roman"/>
        </w:rPr>
        <w:t xml:space="preserve"> “Analysts should be resourceful and creative in selecting TMDL approaches. Decisions regarding the extent of the analysis should always be made on a site-specific basis as part of a comprehensive, problem-solving approach.” </w:t>
      </w:r>
      <w:r w:rsidR="007970A3">
        <w:rPr>
          <w:i/>
        </w:rPr>
        <w:t>P</w:t>
      </w:r>
      <w:r w:rsidR="007970A3" w:rsidRPr="006960BA">
        <w:rPr>
          <w:i/>
        </w:rPr>
        <w:t>rotocol for Developing Nutrient TMDLs</w:t>
      </w:r>
      <w:r w:rsidR="007970A3" w:rsidRPr="001F123C">
        <w:t>, EPA 841-B-99-007, Year 1999</w:t>
      </w:r>
      <w:r w:rsidR="007970A3">
        <w:t xml:space="preserve"> </w:t>
      </w:r>
      <w:hyperlink r:id="rId22" w:history="1">
        <w:r w:rsidR="007970A3" w:rsidRPr="0043630B">
          <w:rPr>
            <w:rStyle w:val="Hyperlink"/>
          </w:rPr>
          <w:t>http://water.epa.gov/lawsregs/lawsguidance/cwa/tmdl/upload/2000_01_10_tmdl_nutrient_nutrient.pdf</w:t>
        </w:r>
      </w:hyperlink>
    </w:p>
    <w:p w:rsidR="00982666" w:rsidRPr="001F123C" w:rsidRDefault="001823C3" w:rsidP="001823C3">
      <w:pPr>
        <w:autoSpaceDE w:val="0"/>
        <w:autoSpaceDN w:val="0"/>
        <w:adjustRightInd w:val="0"/>
        <w:spacing w:line="240" w:lineRule="auto"/>
        <w:ind w:left="720"/>
        <w:contextualSpacing/>
        <w:rPr>
          <w:rFonts w:eastAsia="Times New Roman" w:cs="Times New Roman"/>
        </w:rPr>
      </w:pPr>
      <w:r w:rsidRPr="001F123C">
        <w:rPr>
          <w:rFonts w:eastAsia="Times New Roman" w:cs="Times New Roman"/>
        </w:rPr>
        <w:t xml:space="preserve"> </w:t>
      </w:r>
    </w:p>
    <w:p w:rsidR="00982666" w:rsidRPr="001F123C" w:rsidRDefault="008C474F"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To gain site-specific perspectives, MPCA </w:t>
      </w:r>
      <w:proofErr w:type="gramStart"/>
      <w:r w:rsidR="00DE5F4E">
        <w:rPr>
          <w:rFonts w:eastAsia="Times New Roman" w:cs="Times New Roman"/>
        </w:rPr>
        <w:t>partnered</w:t>
      </w:r>
      <w:proofErr w:type="gramEnd"/>
      <w:r w:rsidR="00DE5F4E">
        <w:rPr>
          <w:rFonts w:eastAsia="Times New Roman" w:cs="Times New Roman"/>
        </w:rPr>
        <w:t xml:space="preserve"> with the Benton County Soil and Water Conservation District</w:t>
      </w:r>
      <w:r w:rsidR="00B600B7">
        <w:rPr>
          <w:rFonts w:eastAsia="Times New Roman" w:cs="Times New Roman"/>
        </w:rPr>
        <w:t xml:space="preserve"> (SWCD)</w:t>
      </w:r>
      <w:r w:rsidR="00DE5F4E">
        <w:rPr>
          <w:rFonts w:eastAsia="Times New Roman" w:cs="Times New Roman"/>
        </w:rPr>
        <w:t xml:space="preserve"> to </w:t>
      </w:r>
      <w:r w:rsidRPr="001F123C">
        <w:rPr>
          <w:rFonts w:eastAsia="Times New Roman" w:cs="Times New Roman"/>
        </w:rPr>
        <w:t>implement a</w:t>
      </w:r>
      <w:r w:rsidR="00982666" w:rsidRPr="001F123C">
        <w:rPr>
          <w:rFonts w:eastAsia="Times New Roman" w:cs="Times New Roman"/>
        </w:rPr>
        <w:t xml:space="preserve"> </w:t>
      </w:r>
      <w:r w:rsidR="004872AA" w:rsidRPr="001F123C">
        <w:rPr>
          <w:rFonts w:eastAsia="Times New Roman" w:cs="Times New Roman"/>
        </w:rPr>
        <w:t>s</w:t>
      </w:r>
      <w:r w:rsidR="00982666" w:rsidRPr="001F123C">
        <w:rPr>
          <w:rFonts w:eastAsia="Times New Roman" w:cs="Times New Roman"/>
        </w:rPr>
        <w:t>takeholder</w:t>
      </w:r>
      <w:r w:rsidR="009B1DCD">
        <w:rPr>
          <w:rFonts w:eastAsia="Times New Roman" w:cs="Times New Roman"/>
        </w:rPr>
        <w:t xml:space="preserve"> and </w:t>
      </w:r>
      <w:r w:rsidR="004872AA" w:rsidRPr="001F123C">
        <w:rPr>
          <w:rFonts w:eastAsia="Times New Roman" w:cs="Times New Roman"/>
        </w:rPr>
        <w:t>t</w:t>
      </w:r>
      <w:r w:rsidR="00982666" w:rsidRPr="001F123C">
        <w:rPr>
          <w:rFonts w:eastAsia="Times New Roman" w:cs="Times New Roman"/>
        </w:rPr>
        <w:t xml:space="preserve">echnical </w:t>
      </w:r>
      <w:r w:rsidR="004872AA" w:rsidRPr="001F123C">
        <w:rPr>
          <w:rFonts w:eastAsia="Times New Roman" w:cs="Times New Roman"/>
        </w:rPr>
        <w:t>a</w:t>
      </w:r>
      <w:r w:rsidR="00982666" w:rsidRPr="001F123C">
        <w:rPr>
          <w:rFonts w:eastAsia="Times New Roman" w:cs="Times New Roman"/>
        </w:rPr>
        <w:t xml:space="preserve">dvisory </w:t>
      </w:r>
      <w:r w:rsidR="009B1DCD">
        <w:rPr>
          <w:rFonts w:eastAsia="Times New Roman" w:cs="Times New Roman"/>
        </w:rPr>
        <w:t xml:space="preserve">committee </w:t>
      </w:r>
      <w:r w:rsidR="00982666" w:rsidRPr="001F123C">
        <w:rPr>
          <w:rFonts w:eastAsia="Times New Roman" w:cs="Times New Roman"/>
        </w:rPr>
        <w:t xml:space="preserve">process </w:t>
      </w:r>
      <w:r w:rsidR="00DE5F4E">
        <w:rPr>
          <w:rFonts w:eastAsia="Times New Roman" w:cs="Times New Roman"/>
        </w:rPr>
        <w:t>for</w:t>
      </w:r>
      <w:r w:rsidR="00982666" w:rsidRPr="001F123C">
        <w:rPr>
          <w:rFonts w:eastAsia="Times New Roman" w:cs="Times New Roman"/>
        </w:rPr>
        <w:t xml:space="preserve"> the development of the draft </w:t>
      </w:r>
      <w:r w:rsidR="008D6999" w:rsidRPr="001F123C">
        <w:rPr>
          <w:rFonts w:eastAsia="Times New Roman" w:cs="Times New Roman"/>
        </w:rPr>
        <w:t>Little Rock Creek</w:t>
      </w:r>
      <w:r w:rsidR="00982666" w:rsidRPr="001F123C">
        <w:rPr>
          <w:rFonts w:eastAsia="Times New Roman" w:cs="Times New Roman"/>
        </w:rPr>
        <w:t xml:space="preserve"> TMDL study. </w:t>
      </w:r>
      <w:r w:rsidR="00AB1615">
        <w:rPr>
          <w:rFonts w:eastAsia="Times New Roman" w:cs="Times New Roman"/>
        </w:rPr>
        <w:t xml:space="preserve">The MPCA </w:t>
      </w:r>
      <w:r w:rsidR="00B600B7">
        <w:rPr>
          <w:rFonts w:eastAsia="Times New Roman" w:cs="Times New Roman"/>
        </w:rPr>
        <w:t xml:space="preserve">and SWCD </w:t>
      </w:r>
      <w:r w:rsidR="00AB1615">
        <w:rPr>
          <w:rFonts w:eastAsia="Times New Roman" w:cs="Times New Roman"/>
        </w:rPr>
        <w:t xml:space="preserve">invited </w:t>
      </w:r>
      <w:r w:rsidR="00982666" w:rsidRPr="001F123C">
        <w:rPr>
          <w:rFonts w:eastAsia="Times New Roman" w:cs="Times New Roman"/>
        </w:rPr>
        <w:t xml:space="preserve">local, state, and federal agencies, interest groups, organizations, and citizens </w:t>
      </w:r>
      <w:r w:rsidR="00AB1615">
        <w:rPr>
          <w:rFonts w:eastAsia="Times New Roman" w:cs="Times New Roman"/>
        </w:rPr>
        <w:t xml:space="preserve">to participate </w:t>
      </w:r>
      <w:r w:rsidR="00982666" w:rsidRPr="001F123C">
        <w:rPr>
          <w:rFonts w:eastAsia="Times New Roman" w:cs="Times New Roman"/>
        </w:rPr>
        <w:t>in this process</w:t>
      </w:r>
      <w:r w:rsidR="00AB1615">
        <w:rPr>
          <w:rFonts w:eastAsia="Times New Roman" w:cs="Times New Roman"/>
        </w:rPr>
        <w:t>, many of which p</w:t>
      </w:r>
      <w:r w:rsidR="00982666" w:rsidRPr="001F123C">
        <w:rPr>
          <w:rFonts w:eastAsia="Times New Roman" w:cs="Times New Roman"/>
        </w:rPr>
        <w:t>rovide</w:t>
      </w:r>
      <w:r w:rsidR="00AB1615">
        <w:rPr>
          <w:rFonts w:eastAsia="Times New Roman" w:cs="Times New Roman"/>
        </w:rPr>
        <w:t>d</w:t>
      </w:r>
      <w:r w:rsidR="00982666" w:rsidRPr="001F123C">
        <w:rPr>
          <w:rFonts w:eastAsia="Times New Roman" w:cs="Times New Roman"/>
        </w:rPr>
        <w:t xml:space="preserve"> input in the development of the TMDL</w:t>
      </w:r>
      <w:r w:rsidR="006E675B" w:rsidRPr="001F123C">
        <w:rPr>
          <w:rFonts w:eastAsia="Times New Roman" w:cs="Times New Roman"/>
        </w:rPr>
        <w:t xml:space="preserve"> study</w:t>
      </w:r>
      <w:r w:rsidR="00982666" w:rsidRPr="001F123C">
        <w:rPr>
          <w:rFonts w:eastAsia="Times New Roman" w:cs="Times New Roman"/>
        </w:rPr>
        <w:t xml:space="preserve">. </w:t>
      </w:r>
    </w:p>
    <w:p w:rsidR="00982666" w:rsidRPr="001F123C" w:rsidRDefault="00982666" w:rsidP="00172DB8">
      <w:pPr>
        <w:spacing w:line="240" w:lineRule="auto"/>
        <w:ind w:left="720" w:hanging="360"/>
        <w:contextualSpacing/>
        <w:rPr>
          <w:rFonts w:eastAsia="Times New Roman" w:cs="Times New Roman"/>
        </w:rPr>
      </w:pPr>
    </w:p>
    <w:p w:rsidR="00982666" w:rsidRPr="001F123C" w:rsidRDefault="00982666" w:rsidP="00172DB8">
      <w:pPr>
        <w:numPr>
          <w:ilvl w:val="0"/>
          <w:numId w:val="1"/>
        </w:numPr>
        <w:tabs>
          <w:tab w:val="left" w:pos="385"/>
        </w:tabs>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Stakeholder</w:t>
      </w:r>
      <w:r w:rsidR="004872AA" w:rsidRPr="001F123C">
        <w:rPr>
          <w:rFonts w:eastAsia="Times New Roman" w:cs="Times New Roman"/>
        </w:rPr>
        <w:t xml:space="preserve">s and </w:t>
      </w:r>
      <w:r w:rsidRPr="001F123C">
        <w:rPr>
          <w:rFonts w:eastAsia="Times New Roman" w:cs="Times New Roman"/>
        </w:rPr>
        <w:t xml:space="preserve">Technical Advisory </w:t>
      </w:r>
      <w:r w:rsidR="004872AA" w:rsidRPr="001F123C">
        <w:rPr>
          <w:rFonts w:eastAsia="Times New Roman" w:cs="Times New Roman"/>
        </w:rPr>
        <w:t>Committee</w:t>
      </w:r>
      <w:r w:rsidRPr="001F123C">
        <w:rPr>
          <w:rFonts w:eastAsia="Times New Roman" w:cs="Times New Roman"/>
        </w:rPr>
        <w:t xml:space="preserve"> members reviewed and provided comments on the draft TMDL study throughout the process and prior to the public notice comment period. </w:t>
      </w:r>
      <w:r w:rsidR="00A41697" w:rsidRPr="001F123C">
        <w:rPr>
          <w:rFonts w:eastAsia="Times New Roman" w:cs="Times New Roman"/>
        </w:rPr>
        <w:t xml:space="preserve">Stakeholder meetings </w:t>
      </w:r>
      <w:proofErr w:type="gramStart"/>
      <w:r w:rsidR="00A41697" w:rsidRPr="001F123C">
        <w:rPr>
          <w:rFonts w:eastAsia="Times New Roman" w:cs="Times New Roman"/>
        </w:rPr>
        <w:t>were held</w:t>
      </w:r>
      <w:r w:rsidR="004872AA" w:rsidRPr="001F123C">
        <w:rPr>
          <w:rFonts w:eastAsia="Times New Roman" w:cs="Times New Roman"/>
        </w:rPr>
        <w:t xml:space="preserve"> on</w:t>
      </w:r>
      <w:proofErr w:type="gramEnd"/>
      <w:r w:rsidR="004872AA" w:rsidRPr="001F123C">
        <w:rPr>
          <w:rFonts w:eastAsia="Times New Roman" w:cs="Times New Roman"/>
        </w:rPr>
        <w:t>:</w:t>
      </w:r>
      <w:r w:rsidR="008B1F23" w:rsidRPr="001F123C">
        <w:rPr>
          <w:rFonts w:eastAsia="Times New Roman" w:cs="Times New Roman"/>
        </w:rPr>
        <w:t xml:space="preserve"> May 15, 2012</w:t>
      </w:r>
      <w:r w:rsidR="004872AA" w:rsidRPr="001F123C">
        <w:rPr>
          <w:rFonts w:eastAsia="Times New Roman" w:cs="Times New Roman"/>
        </w:rPr>
        <w:t>,</w:t>
      </w:r>
      <w:r w:rsidR="000355A4" w:rsidRPr="001F123C">
        <w:rPr>
          <w:rFonts w:eastAsia="Times New Roman" w:cs="Times New Roman"/>
        </w:rPr>
        <w:t xml:space="preserve"> at the</w:t>
      </w:r>
      <w:r w:rsidR="008B1F23" w:rsidRPr="001F123C">
        <w:rPr>
          <w:rFonts w:eastAsia="Times New Roman" w:cs="Times New Roman"/>
        </w:rPr>
        <w:t xml:space="preserve"> Pine Country Bank Conf</w:t>
      </w:r>
      <w:r w:rsidR="000355A4" w:rsidRPr="001F123C">
        <w:rPr>
          <w:rFonts w:eastAsia="Times New Roman" w:cs="Times New Roman"/>
        </w:rPr>
        <w:t>erence Room in Rice</w:t>
      </w:r>
      <w:r w:rsidR="004872AA" w:rsidRPr="001F123C">
        <w:rPr>
          <w:rFonts w:eastAsia="Times New Roman" w:cs="Times New Roman"/>
        </w:rPr>
        <w:t>,</w:t>
      </w:r>
      <w:r w:rsidR="000355A4" w:rsidRPr="001F123C">
        <w:rPr>
          <w:rFonts w:eastAsia="Times New Roman" w:cs="Times New Roman"/>
        </w:rPr>
        <w:t xml:space="preserve"> MN</w:t>
      </w:r>
      <w:r w:rsidR="004872AA" w:rsidRPr="001F123C">
        <w:rPr>
          <w:rFonts w:eastAsia="Times New Roman" w:cs="Times New Roman"/>
        </w:rPr>
        <w:t>;</w:t>
      </w:r>
      <w:r w:rsidR="000355A4" w:rsidRPr="001F123C">
        <w:rPr>
          <w:rFonts w:eastAsia="Times New Roman" w:cs="Times New Roman"/>
        </w:rPr>
        <w:t xml:space="preserve"> on </w:t>
      </w:r>
      <w:r w:rsidR="008B1F23" w:rsidRPr="001F123C">
        <w:rPr>
          <w:rFonts w:eastAsia="Times New Roman" w:cs="Times New Roman"/>
        </w:rPr>
        <w:t>June 21, 2012</w:t>
      </w:r>
      <w:r w:rsidR="004872AA" w:rsidRPr="001F123C">
        <w:rPr>
          <w:rFonts w:eastAsia="Times New Roman" w:cs="Times New Roman"/>
        </w:rPr>
        <w:t>,</w:t>
      </w:r>
      <w:r w:rsidR="008B1F23" w:rsidRPr="001F123C">
        <w:rPr>
          <w:rFonts w:eastAsia="Times New Roman" w:cs="Times New Roman"/>
        </w:rPr>
        <w:t xml:space="preserve"> </w:t>
      </w:r>
      <w:r w:rsidR="000355A4" w:rsidRPr="001F123C">
        <w:rPr>
          <w:rFonts w:eastAsia="Times New Roman" w:cs="Times New Roman"/>
        </w:rPr>
        <w:t>at the</w:t>
      </w:r>
      <w:r w:rsidR="00EF2AD7">
        <w:rPr>
          <w:rFonts w:eastAsia="Times New Roman" w:cs="Times New Roman"/>
        </w:rPr>
        <w:t xml:space="preserve"> </w:t>
      </w:r>
      <w:r w:rsidR="008B1F23" w:rsidRPr="001F123C">
        <w:rPr>
          <w:rFonts w:eastAsia="Times New Roman" w:cs="Times New Roman"/>
        </w:rPr>
        <w:t>City of Foley Council</w:t>
      </w:r>
      <w:r w:rsidR="00B82473">
        <w:rPr>
          <w:rFonts w:eastAsia="Times New Roman" w:cs="Times New Roman"/>
        </w:rPr>
        <w:t xml:space="preserve"> </w:t>
      </w:r>
      <w:r w:rsidR="008B1F23" w:rsidRPr="001F123C">
        <w:rPr>
          <w:rFonts w:eastAsia="Times New Roman" w:cs="Times New Roman"/>
        </w:rPr>
        <w:t xml:space="preserve">Boardroom </w:t>
      </w:r>
      <w:r w:rsidR="000355A4" w:rsidRPr="001F123C">
        <w:rPr>
          <w:rFonts w:eastAsia="Times New Roman" w:cs="Times New Roman"/>
        </w:rPr>
        <w:t xml:space="preserve">in </w:t>
      </w:r>
      <w:r w:rsidR="008B1F23" w:rsidRPr="001F123C">
        <w:rPr>
          <w:rFonts w:eastAsia="Times New Roman" w:cs="Times New Roman"/>
        </w:rPr>
        <w:t>Foley, MN</w:t>
      </w:r>
      <w:r w:rsidR="004872AA" w:rsidRPr="001F123C">
        <w:rPr>
          <w:rFonts w:eastAsia="Times New Roman" w:cs="Times New Roman"/>
        </w:rPr>
        <w:t>;</w:t>
      </w:r>
      <w:r w:rsidR="008B1F23" w:rsidRPr="001F123C">
        <w:rPr>
          <w:rFonts w:eastAsia="Times New Roman" w:cs="Times New Roman"/>
        </w:rPr>
        <w:t xml:space="preserve"> and </w:t>
      </w:r>
      <w:r w:rsidR="000355A4" w:rsidRPr="001F123C">
        <w:rPr>
          <w:rFonts w:eastAsia="Times New Roman" w:cs="Times New Roman"/>
        </w:rPr>
        <w:t xml:space="preserve">on </w:t>
      </w:r>
      <w:r w:rsidR="008B1F23" w:rsidRPr="001F123C">
        <w:rPr>
          <w:rFonts w:eastAsia="Times New Roman" w:cs="Times New Roman"/>
        </w:rPr>
        <w:t>August 3, 2012</w:t>
      </w:r>
      <w:r w:rsidR="004872AA" w:rsidRPr="001F123C">
        <w:rPr>
          <w:rFonts w:eastAsia="Times New Roman" w:cs="Times New Roman"/>
        </w:rPr>
        <w:t>,</w:t>
      </w:r>
      <w:r w:rsidR="008B1F23" w:rsidRPr="001F123C">
        <w:rPr>
          <w:rFonts w:eastAsia="Times New Roman" w:cs="Times New Roman"/>
        </w:rPr>
        <w:t xml:space="preserve"> </w:t>
      </w:r>
      <w:r w:rsidR="000355A4" w:rsidRPr="001F123C">
        <w:rPr>
          <w:rFonts w:eastAsia="Times New Roman" w:cs="Times New Roman"/>
        </w:rPr>
        <w:t>at the</w:t>
      </w:r>
      <w:r w:rsidR="00EF2AD7">
        <w:rPr>
          <w:rFonts w:eastAsia="Times New Roman" w:cs="Times New Roman"/>
        </w:rPr>
        <w:t xml:space="preserve"> </w:t>
      </w:r>
      <w:r w:rsidR="008B1F23" w:rsidRPr="001F123C">
        <w:rPr>
          <w:rFonts w:eastAsia="Times New Roman" w:cs="Times New Roman"/>
        </w:rPr>
        <w:t>Benton County Commissioner Boardroom</w:t>
      </w:r>
      <w:r w:rsidR="000355A4" w:rsidRPr="001F123C">
        <w:rPr>
          <w:rFonts w:eastAsia="Times New Roman" w:cs="Times New Roman"/>
        </w:rPr>
        <w:t xml:space="preserve"> in</w:t>
      </w:r>
      <w:r w:rsidR="008B1F23" w:rsidRPr="001F123C">
        <w:rPr>
          <w:rFonts w:eastAsia="Times New Roman" w:cs="Times New Roman"/>
        </w:rPr>
        <w:t xml:space="preserve"> Foley, MN.</w:t>
      </w:r>
    </w:p>
    <w:p w:rsidR="00982666" w:rsidRPr="001F123C" w:rsidRDefault="00982666" w:rsidP="00172DB8">
      <w:pPr>
        <w:spacing w:line="240" w:lineRule="auto"/>
        <w:ind w:left="720" w:hanging="360"/>
        <w:contextualSpacing/>
        <w:rPr>
          <w:rFonts w:eastAsia="Times New Roman" w:cs="Times New Roman"/>
        </w:rPr>
      </w:pPr>
    </w:p>
    <w:p w:rsidR="00982666" w:rsidRPr="001F123C" w:rsidRDefault="00800163"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To gain additional local perspectives, </w:t>
      </w:r>
      <w:r w:rsidR="00120247" w:rsidRPr="001F123C">
        <w:rPr>
          <w:rFonts w:eastAsia="Times New Roman" w:cs="Times New Roman"/>
        </w:rPr>
        <w:t>p</w:t>
      </w:r>
      <w:r w:rsidR="00982666" w:rsidRPr="001F123C">
        <w:rPr>
          <w:rFonts w:eastAsia="Times New Roman" w:cs="Times New Roman"/>
        </w:rPr>
        <w:t xml:space="preserve">ublic information meetings </w:t>
      </w:r>
      <w:proofErr w:type="gramStart"/>
      <w:r w:rsidR="00DE3EB6">
        <w:rPr>
          <w:rFonts w:eastAsia="Times New Roman" w:cs="Times New Roman"/>
        </w:rPr>
        <w:t>were held</w:t>
      </w:r>
      <w:proofErr w:type="gramEnd"/>
      <w:r w:rsidR="00DE3EB6">
        <w:rPr>
          <w:rFonts w:eastAsia="Times New Roman" w:cs="Times New Roman"/>
        </w:rPr>
        <w:t xml:space="preserve"> </w:t>
      </w:r>
      <w:r w:rsidR="007D5F69" w:rsidRPr="001F123C">
        <w:rPr>
          <w:rFonts w:eastAsia="Times New Roman" w:cs="Times New Roman"/>
        </w:rPr>
        <w:t>in Sauk Rapids on</w:t>
      </w:r>
      <w:r w:rsidR="009B1DCD">
        <w:rPr>
          <w:rFonts w:eastAsia="Times New Roman" w:cs="Times New Roman"/>
        </w:rPr>
        <w:t>:</w:t>
      </w:r>
      <w:r w:rsidR="007D5F69" w:rsidRPr="001F123C">
        <w:rPr>
          <w:rFonts w:eastAsia="Times New Roman" w:cs="Times New Roman"/>
        </w:rPr>
        <w:t xml:space="preserve"> </w:t>
      </w:r>
      <w:r w:rsidR="002A155A" w:rsidRPr="001F123C">
        <w:rPr>
          <w:rFonts w:eastAsia="Times New Roman" w:cs="Times New Roman"/>
        </w:rPr>
        <w:t>September 3, 2003</w:t>
      </w:r>
      <w:r w:rsidR="009B1DCD">
        <w:rPr>
          <w:rFonts w:eastAsia="Times New Roman" w:cs="Times New Roman"/>
        </w:rPr>
        <w:t xml:space="preserve">; </w:t>
      </w:r>
      <w:r w:rsidR="002A155A" w:rsidRPr="001F123C">
        <w:rPr>
          <w:rFonts w:eastAsia="Times New Roman" w:cs="Times New Roman"/>
        </w:rPr>
        <w:t>Se</w:t>
      </w:r>
      <w:r w:rsidR="009F39B1" w:rsidRPr="001F123C">
        <w:rPr>
          <w:rFonts w:eastAsia="Times New Roman" w:cs="Times New Roman"/>
        </w:rPr>
        <w:t>ptember 23, 2007</w:t>
      </w:r>
      <w:r w:rsidR="009B1DCD">
        <w:rPr>
          <w:rFonts w:eastAsia="Times New Roman" w:cs="Times New Roman"/>
        </w:rPr>
        <w:t>;</w:t>
      </w:r>
      <w:r w:rsidR="009F39B1" w:rsidRPr="001F123C">
        <w:rPr>
          <w:rFonts w:eastAsia="Times New Roman" w:cs="Times New Roman"/>
        </w:rPr>
        <w:t xml:space="preserve"> and</w:t>
      </w:r>
      <w:r w:rsidR="002A155A" w:rsidRPr="001F123C">
        <w:rPr>
          <w:rFonts w:eastAsia="Times New Roman" w:cs="Times New Roman"/>
        </w:rPr>
        <w:t xml:space="preserve"> September 16, 2009</w:t>
      </w:r>
      <w:r w:rsidR="00982666" w:rsidRPr="001F123C">
        <w:rPr>
          <w:rFonts w:eastAsia="Times New Roman" w:cs="Times New Roman"/>
        </w:rPr>
        <w:t xml:space="preserve">. </w:t>
      </w:r>
    </w:p>
    <w:p w:rsidR="00982666" w:rsidRPr="001F123C" w:rsidRDefault="00982666" w:rsidP="00172DB8">
      <w:pPr>
        <w:spacing w:line="240" w:lineRule="auto"/>
        <w:ind w:left="720" w:hanging="360"/>
        <w:contextualSpacing/>
        <w:rPr>
          <w:rFonts w:eastAsia="Times New Roman" w:cs="Times New Roman"/>
        </w:rPr>
      </w:pPr>
    </w:p>
    <w:p w:rsidR="00982666" w:rsidRPr="001F123C" w:rsidRDefault="008C474F"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On November 8, 2012, the MPCA sent t</w:t>
      </w:r>
      <w:r w:rsidR="00982666" w:rsidRPr="001F123C">
        <w:rPr>
          <w:rFonts w:eastAsia="Times New Roman" w:cs="Times New Roman"/>
        </w:rPr>
        <w:t xml:space="preserve">he draft TMDL study to EPA for preliminary review and comment. </w:t>
      </w:r>
      <w:r w:rsidR="00120247" w:rsidRPr="001F123C">
        <w:rPr>
          <w:rFonts w:eastAsia="Times New Roman" w:cs="Times New Roman"/>
        </w:rPr>
        <w:t xml:space="preserve">EPA submitted preliminary comments to MPCA on November 30, 2012. </w:t>
      </w:r>
      <w:r w:rsidRPr="001F123C">
        <w:rPr>
          <w:rFonts w:eastAsia="Times New Roman" w:cs="Times New Roman"/>
        </w:rPr>
        <w:t>The MPCA revised t</w:t>
      </w:r>
      <w:r w:rsidR="00982666" w:rsidRPr="001F123C">
        <w:rPr>
          <w:rFonts w:eastAsia="Times New Roman" w:cs="Times New Roman"/>
        </w:rPr>
        <w:t>he draft TMDL study based on EPA preliminary comments</w:t>
      </w:r>
      <w:r w:rsidR="00120247" w:rsidRPr="001F123C">
        <w:rPr>
          <w:rFonts w:eastAsia="Times New Roman" w:cs="Times New Roman"/>
        </w:rPr>
        <w:t>.</w:t>
      </w:r>
    </w:p>
    <w:p w:rsidR="00982666" w:rsidRPr="001F123C" w:rsidRDefault="00982666" w:rsidP="00172DB8">
      <w:pPr>
        <w:tabs>
          <w:tab w:val="left" w:pos="385"/>
        </w:tabs>
        <w:autoSpaceDE w:val="0"/>
        <w:autoSpaceDN w:val="0"/>
        <w:adjustRightInd w:val="0"/>
        <w:spacing w:line="240" w:lineRule="auto"/>
        <w:ind w:left="720" w:hanging="360"/>
        <w:rPr>
          <w:rFonts w:eastAsia="Times New Roman" w:cs="Times New Roman"/>
        </w:rPr>
      </w:pPr>
    </w:p>
    <w:p w:rsidR="00800163" w:rsidRPr="001F123C" w:rsidRDefault="00800163" w:rsidP="00172DB8">
      <w:pPr>
        <w:pStyle w:val="ListParagraph"/>
        <w:numPr>
          <w:ilvl w:val="0"/>
          <w:numId w:val="1"/>
        </w:numPr>
        <w:spacing w:line="240" w:lineRule="auto"/>
        <w:ind w:left="720" w:hanging="360"/>
        <w:rPr>
          <w:rFonts w:eastAsia="Times New Roman" w:cs="Times New Roman"/>
        </w:rPr>
      </w:pPr>
      <w:r w:rsidRPr="001F123C">
        <w:rPr>
          <w:rFonts w:eastAsia="Times New Roman" w:cs="Times New Roman"/>
        </w:rPr>
        <w:t xml:space="preserve">The MPCA published notice of a public comment period for the Little Rock Creek TMDL in the Minnesota </w:t>
      </w:r>
      <w:r w:rsidRPr="001F123C">
        <w:rPr>
          <w:rFonts w:eastAsia="Times New Roman" w:cs="Times New Roman"/>
          <w:i/>
        </w:rPr>
        <w:t>State Register</w:t>
      </w:r>
      <w:r w:rsidRPr="001F123C">
        <w:rPr>
          <w:rFonts w:eastAsia="Times New Roman" w:cs="Times New Roman"/>
        </w:rPr>
        <w:t xml:space="preserve"> on February 4, 2013. The public comment period was February 4, 2013, through March 6, 2013. </w:t>
      </w:r>
      <w:proofErr w:type="gramStart"/>
      <w:r w:rsidRPr="001F123C">
        <w:rPr>
          <w:rFonts w:eastAsia="Times New Roman" w:cs="Times New Roman"/>
        </w:rPr>
        <w:t>37</w:t>
      </w:r>
      <w:proofErr w:type="gramEnd"/>
      <w:r w:rsidRPr="001F123C">
        <w:rPr>
          <w:rFonts w:eastAsia="Times New Roman" w:cs="Times New Roman"/>
        </w:rPr>
        <w:t xml:space="preserve"> </w:t>
      </w:r>
      <w:r w:rsidRPr="00180684">
        <w:rPr>
          <w:rFonts w:eastAsia="Times New Roman" w:cs="Times New Roman"/>
          <w:i/>
        </w:rPr>
        <w:t>State Register</w:t>
      </w:r>
      <w:r w:rsidRPr="001F123C">
        <w:rPr>
          <w:rFonts w:eastAsia="Times New Roman" w:cs="Times New Roman"/>
        </w:rPr>
        <w:t xml:space="preserve">, 1162-64. </w:t>
      </w:r>
    </w:p>
    <w:p w:rsidR="00800163" w:rsidRPr="001F123C" w:rsidRDefault="00800163" w:rsidP="00172DB8">
      <w:pPr>
        <w:spacing w:line="240" w:lineRule="auto"/>
        <w:ind w:left="720" w:hanging="360"/>
        <w:rPr>
          <w:rFonts w:eastAsia="Times New Roman" w:cs="Times New Roman"/>
        </w:rPr>
      </w:pPr>
    </w:p>
    <w:p w:rsidR="00165E33" w:rsidRPr="001F123C" w:rsidRDefault="00800163"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In addition to the public notice, on </w:t>
      </w:r>
      <w:r w:rsidR="00232FD2" w:rsidRPr="001F123C">
        <w:rPr>
          <w:rFonts w:eastAsia="Times New Roman" w:cs="Times New Roman"/>
        </w:rPr>
        <w:t>February 4, 2013</w:t>
      </w:r>
      <w:r w:rsidRPr="001F123C">
        <w:rPr>
          <w:rFonts w:eastAsia="Times New Roman" w:cs="Times New Roman"/>
        </w:rPr>
        <w:t xml:space="preserve">, the MPCA posted the </w:t>
      </w:r>
      <w:r w:rsidR="00982666" w:rsidRPr="001F123C">
        <w:rPr>
          <w:rFonts w:eastAsia="Times New Roman" w:cs="Times New Roman"/>
        </w:rPr>
        <w:t xml:space="preserve">draft </w:t>
      </w:r>
      <w:r w:rsidR="008D6999" w:rsidRPr="001F123C">
        <w:rPr>
          <w:rFonts w:eastAsia="Times New Roman" w:cs="Times New Roman"/>
        </w:rPr>
        <w:t>Little Rock Creek</w:t>
      </w:r>
      <w:r w:rsidR="00982666" w:rsidRPr="001F123C">
        <w:rPr>
          <w:rFonts w:eastAsia="Times New Roman" w:cs="Times New Roman"/>
        </w:rPr>
        <w:t xml:space="preserve"> TMDL </w:t>
      </w:r>
      <w:r w:rsidRPr="001F123C">
        <w:rPr>
          <w:rFonts w:eastAsia="Times New Roman" w:cs="Times New Roman"/>
        </w:rPr>
        <w:t xml:space="preserve">and </w:t>
      </w:r>
      <w:r w:rsidR="00982666" w:rsidRPr="001F123C">
        <w:rPr>
          <w:rFonts w:eastAsia="Times New Roman" w:cs="Times New Roman"/>
        </w:rPr>
        <w:t>a press release</w:t>
      </w:r>
      <w:r w:rsidR="00BE488D">
        <w:rPr>
          <w:rFonts w:eastAsia="Times New Roman" w:cs="Times New Roman"/>
        </w:rPr>
        <w:t xml:space="preserve"> </w:t>
      </w:r>
      <w:r w:rsidR="00BE488D" w:rsidRPr="001F123C">
        <w:rPr>
          <w:rFonts w:eastAsia="Times New Roman" w:cs="Times New Roman"/>
        </w:rPr>
        <w:t>on its website</w:t>
      </w:r>
      <w:r w:rsidRPr="001F123C">
        <w:rPr>
          <w:rFonts w:eastAsia="Times New Roman" w:cs="Times New Roman"/>
        </w:rPr>
        <w:t>.</w:t>
      </w:r>
      <w:r w:rsidR="00982666" w:rsidRPr="001F123C">
        <w:rPr>
          <w:rFonts w:eastAsia="Times New Roman" w:cs="Times New Roman"/>
        </w:rPr>
        <w:t xml:space="preserve"> </w:t>
      </w:r>
    </w:p>
    <w:p w:rsidR="00165E33" w:rsidRPr="001F123C" w:rsidRDefault="00165E33" w:rsidP="00172DB8">
      <w:pPr>
        <w:autoSpaceDE w:val="0"/>
        <w:autoSpaceDN w:val="0"/>
        <w:adjustRightInd w:val="0"/>
        <w:spacing w:line="240" w:lineRule="auto"/>
        <w:rPr>
          <w:rFonts w:eastAsia="Times New Roman" w:cs="Times New Roman"/>
        </w:rPr>
      </w:pPr>
    </w:p>
    <w:p w:rsidR="00982666" w:rsidRPr="00A21955" w:rsidRDefault="00165E33" w:rsidP="00172DB8">
      <w:pPr>
        <w:autoSpaceDE w:val="0"/>
        <w:autoSpaceDN w:val="0"/>
        <w:adjustRightInd w:val="0"/>
        <w:spacing w:line="240" w:lineRule="auto"/>
        <w:ind w:firstLine="360"/>
        <w:rPr>
          <w:rFonts w:eastAsia="Times New Roman" w:cs="Times New Roman"/>
          <w:b/>
          <w:i/>
        </w:rPr>
      </w:pPr>
      <w:r w:rsidRPr="00A21955">
        <w:rPr>
          <w:rFonts w:eastAsia="Times New Roman" w:cs="Times New Roman"/>
          <w:b/>
          <w:i/>
        </w:rPr>
        <w:t>Comments and petitions for a contested case hearing received during public comment period</w:t>
      </w:r>
    </w:p>
    <w:p w:rsidR="009423CB" w:rsidRPr="001F123C" w:rsidRDefault="009423CB" w:rsidP="00172DB8">
      <w:pPr>
        <w:autoSpaceDE w:val="0"/>
        <w:autoSpaceDN w:val="0"/>
        <w:adjustRightInd w:val="0"/>
        <w:spacing w:line="240" w:lineRule="auto"/>
        <w:ind w:left="720"/>
        <w:contextualSpacing/>
        <w:rPr>
          <w:rFonts w:eastAsia="Times New Roman" w:cs="Times New Roman"/>
        </w:rPr>
      </w:pPr>
    </w:p>
    <w:p w:rsidR="00982666" w:rsidRPr="001F123C" w:rsidRDefault="009423CB"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 xml:space="preserve">The MPCA received </w:t>
      </w:r>
      <w:proofErr w:type="gramStart"/>
      <w:r w:rsidRPr="001F123C">
        <w:rPr>
          <w:rFonts w:eastAsia="Times New Roman" w:cs="Times New Roman"/>
        </w:rPr>
        <w:t>a</w:t>
      </w:r>
      <w:r w:rsidR="00982666" w:rsidRPr="001F123C">
        <w:rPr>
          <w:rFonts w:eastAsia="Times New Roman" w:cs="Times New Roman"/>
        </w:rPr>
        <w:t xml:space="preserve"> t</w:t>
      </w:r>
      <w:r w:rsidR="00165084" w:rsidRPr="001F123C">
        <w:rPr>
          <w:rFonts w:eastAsia="Times New Roman" w:cs="Times New Roman"/>
        </w:rPr>
        <w:t>otal of nine</w:t>
      </w:r>
      <w:proofErr w:type="gramEnd"/>
      <w:r w:rsidR="00165084" w:rsidRPr="001F123C">
        <w:rPr>
          <w:rFonts w:eastAsia="Times New Roman" w:cs="Times New Roman"/>
        </w:rPr>
        <w:t xml:space="preserve"> (9</w:t>
      </w:r>
      <w:r w:rsidR="00982666" w:rsidRPr="001F123C">
        <w:rPr>
          <w:rFonts w:eastAsia="Times New Roman" w:cs="Times New Roman"/>
        </w:rPr>
        <w:t xml:space="preserve">) </w:t>
      </w:r>
      <w:r w:rsidR="00A00DAE">
        <w:rPr>
          <w:rFonts w:eastAsia="Times New Roman" w:cs="Times New Roman"/>
        </w:rPr>
        <w:t xml:space="preserve">timely </w:t>
      </w:r>
      <w:r w:rsidR="00982666" w:rsidRPr="001F123C">
        <w:rPr>
          <w:rFonts w:eastAsia="Times New Roman" w:cs="Times New Roman"/>
        </w:rPr>
        <w:t xml:space="preserve">written comments during </w:t>
      </w:r>
      <w:r w:rsidR="00B90C44" w:rsidRPr="001F123C">
        <w:rPr>
          <w:rFonts w:eastAsia="Times New Roman" w:cs="Times New Roman"/>
        </w:rPr>
        <w:t>the comment</w:t>
      </w:r>
      <w:r w:rsidR="00982666" w:rsidRPr="001F123C">
        <w:rPr>
          <w:rFonts w:eastAsia="Times New Roman" w:cs="Times New Roman"/>
        </w:rPr>
        <w:t xml:space="preserve"> period for the draft </w:t>
      </w:r>
      <w:r w:rsidR="008D6999" w:rsidRPr="001F123C">
        <w:rPr>
          <w:rFonts w:eastAsia="Times New Roman" w:cs="Times New Roman"/>
        </w:rPr>
        <w:t>Little Rock Creek</w:t>
      </w:r>
      <w:r w:rsidR="00AA2225">
        <w:rPr>
          <w:rFonts w:eastAsia="Times New Roman" w:cs="Times New Roman"/>
        </w:rPr>
        <w:t xml:space="preserve"> TMDL study.</w:t>
      </w:r>
    </w:p>
    <w:p w:rsidR="00982666" w:rsidRPr="001F123C" w:rsidRDefault="00982666" w:rsidP="00172DB8">
      <w:pPr>
        <w:autoSpaceDE w:val="0"/>
        <w:autoSpaceDN w:val="0"/>
        <w:adjustRightInd w:val="0"/>
        <w:spacing w:line="240" w:lineRule="auto"/>
        <w:ind w:left="720" w:hanging="360"/>
        <w:rPr>
          <w:rFonts w:eastAsia="Times New Roman" w:cs="Times New Roman"/>
        </w:rPr>
      </w:pPr>
    </w:p>
    <w:p w:rsidR="006E259C" w:rsidRPr="00FF59E2" w:rsidRDefault="006E259C" w:rsidP="00172DB8">
      <w:pPr>
        <w:numPr>
          <w:ilvl w:val="0"/>
          <w:numId w:val="1"/>
        </w:numPr>
        <w:autoSpaceDE w:val="0"/>
        <w:autoSpaceDN w:val="0"/>
        <w:adjustRightInd w:val="0"/>
        <w:spacing w:line="240" w:lineRule="auto"/>
        <w:ind w:left="720" w:hanging="360"/>
        <w:contextualSpacing/>
        <w:rPr>
          <w:rFonts w:eastAsia="Times New Roman" w:cs="Times New Roman"/>
        </w:rPr>
      </w:pPr>
      <w:r w:rsidRPr="00FF59E2">
        <w:rPr>
          <w:rFonts w:eastAsia="Times New Roman" w:cs="Times New Roman"/>
        </w:rPr>
        <w:t xml:space="preserve">The MPCA prepared a </w:t>
      </w:r>
      <w:r w:rsidR="00592E6A" w:rsidRPr="00FF59E2">
        <w:rPr>
          <w:rFonts w:eastAsia="Times New Roman" w:cs="Times New Roman"/>
        </w:rPr>
        <w:t>R</w:t>
      </w:r>
      <w:r w:rsidRPr="00FF59E2">
        <w:rPr>
          <w:rFonts w:eastAsia="Times New Roman" w:cs="Times New Roman"/>
        </w:rPr>
        <w:t xml:space="preserve">esponse to </w:t>
      </w:r>
      <w:r w:rsidR="00592E6A" w:rsidRPr="00FF59E2">
        <w:rPr>
          <w:rFonts w:eastAsia="Times New Roman" w:cs="Times New Roman"/>
        </w:rPr>
        <w:t>C</w:t>
      </w:r>
      <w:r w:rsidRPr="00FF59E2">
        <w:rPr>
          <w:rFonts w:eastAsia="Times New Roman" w:cs="Times New Roman"/>
        </w:rPr>
        <w:t xml:space="preserve">omments </w:t>
      </w:r>
      <w:r w:rsidR="00AA2225" w:rsidRPr="00FF59E2">
        <w:rPr>
          <w:rFonts w:eastAsia="Times New Roman" w:cs="Times New Roman"/>
        </w:rPr>
        <w:t>that</w:t>
      </w:r>
      <w:r w:rsidRPr="00FF59E2">
        <w:rPr>
          <w:rFonts w:eastAsia="Times New Roman" w:cs="Times New Roman"/>
        </w:rPr>
        <w:t xml:space="preserve"> </w:t>
      </w:r>
      <w:proofErr w:type="gramStart"/>
      <w:r w:rsidRPr="00FF59E2">
        <w:rPr>
          <w:rFonts w:eastAsia="Times New Roman" w:cs="Times New Roman"/>
        </w:rPr>
        <w:t>is hereby incorporated</w:t>
      </w:r>
      <w:proofErr w:type="gramEnd"/>
      <w:r w:rsidRPr="00FF59E2">
        <w:rPr>
          <w:rFonts w:eastAsia="Times New Roman" w:cs="Times New Roman"/>
        </w:rPr>
        <w:t xml:space="preserve"> by reference as Appendix </w:t>
      </w:r>
      <w:r w:rsidR="00014D02" w:rsidRPr="00FF59E2">
        <w:rPr>
          <w:rFonts w:eastAsia="Times New Roman" w:cs="Times New Roman"/>
        </w:rPr>
        <w:t>A</w:t>
      </w:r>
      <w:r w:rsidRPr="00FF59E2">
        <w:rPr>
          <w:rFonts w:eastAsia="Times New Roman" w:cs="Times New Roman"/>
        </w:rPr>
        <w:t xml:space="preserve"> to these findings. </w:t>
      </w:r>
    </w:p>
    <w:p w:rsidR="006E259C" w:rsidRPr="00FF59E2" w:rsidRDefault="006E259C" w:rsidP="00172DB8">
      <w:pPr>
        <w:autoSpaceDE w:val="0"/>
        <w:autoSpaceDN w:val="0"/>
        <w:adjustRightInd w:val="0"/>
        <w:spacing w:line="240" w:lineRule="auto"/>
        <w:ind w:left="720" w:hanging="360"/>
        <w:contextualSpacing/>
        <w:rPr>
          <w:rFonts w:eastAsia="Times New Roman" w:cs="Times New Roman"/>
        </w:rPr>
      </w:pPr>
    </w:p>
    <w:p w:rsidR="009423CB" w:rsidRPr="00FF59E2" w:rsidRDefault="009423CB" w:rsidP="00172DB8">
      <w:pPr>
        <w:numPr>
          <w:ilvl w:val="0"/>
          <w:numId w:val="1"/>
        </w:numPr>
        <w:autoSpaceDE w:val="0"/>
        <w:autoSpaceDN w:val="0"/>
        <w:adjustRightInd w:val="0"/>
        <w:spacing w:line="240" w:lineRule="auto"/>
        <w:ind w:left="720" w:hanging="360"/>
        <w:contextualSpacing/>
        <w:rPr>
          <w:rFonts w:eastAsia="Times New Roman" w:cs="Times New Roman"/>
        </w:rPr>
      </w:pPr>
      <w:r w:rsidRPr="00FF59E2">
        <w:rPr>
          <w:rFonts w:eastAsia="Times New Roman" w:cs="Times New Roman"/>
        </w:rPr>
        <w:t xml:space="preserve">In order to be valid, contested case hearing petitions </w:t>
      </w:r>
      <w:proofErr w:type="gramStart"/>
      <w:r w:rsidRPr="00FF59E2">
        <w:rPr>
          <w:rFonts w:eastAsia="Times New Roman" w:cs="Times New Roman"/>
        </w:rPr>
        <w:t>must be received</w:t>
      </w:r>
      <w:proofErr w:type="gramEnd"/>
      <w:r w:rsidRPr="00FF59E2">
        <w:rPr>
          <w:rFonts w:eastAsia="Times New Roman" w:cs="Times New Roman"/>
        </w:rPr>
        <w:t xml:space="preserve"> during the public comment period. </w:t>
      </w:r>
      <w:proofErr w:type="gramStart"/>
      <w:r w:rsidRPr="00FF59E2">
        <w:rPr>
          <w:rFonts w:eastAsia="Times New Roman" w:cs="Times New Roman"/>
        </w:rPr>
        <w:t xml:space="preserve">Minn. R. 7000.1800, </w:t>
      </w:r>
      <w:proofErr w:type="spellStart"/>
      <w:r w:rsidRPr="00FF59E2">
        <w:rPr>
          <w:rFonts w:eastAsia="Times New Roman" w:cs="Times New Roman"/>
        </w:rPr>
        <w:t>subp</w:t>
      </w:r>
      <w:proofErr w:type="spellEnd"/>
      <w:r w:rsidRPr="00FF59E2">
        <w:rPr>
          <w:rFonts w:eastAsia="Times New Roman" w:cs="Times New Roman"/>
        </w:rPr>
        <w:t>.</w:t>
      </w:r>
      <w:proofErr w:type="gramEnd"/>
      <w:r w:rsidRPr="00FF59E2">
        <w:rPr>
          <w:rFonts w:eastAsia="Times New Roman" w:cs="Times New Roman"/>
        </w:rPr>
        <w:t xml:space="preserve"> </w:t>
      </w:r>
      <w:proofErr w:type="gramStart"/>
      <w:r w:rsidRPr="00FF59E2">
        <w:rPr>
          <w:rFonts w:eastAsia="Times New Roman" w:cs="Times New Roman"/>
        </w:rPr>
        <w:t>1.A</w:t>
      </w:r>
      <w:proofErr w:type="gramEnd"/>
      <w:r w:rsidRPr="00FF59E2">
        <w:rPr>
          <w:rFonts w:eastAsia="Times New Roman" w:cs="Times New Roman"/>
        </w:rPr>
        <w:t xml:space="preserve">. </w:t>
      </w:r>
    </w:p>
    <w:p w:rsidR="009423CB" w:rsidRPr="00FF59E2" w:rsidRDefault="009423CB" w:rsidP="00172DB8">
      <w:pPr>
        <w:autoSpaceDE w:val="0"/>
        <w:autoSpaceDN w:val="0"/>
        <w:adjustRightInd w:val="0"/>
        <w:spacing w:line="240" w:lineRule="auto"/>
        <w:ind w:left="720" w:hanging="360"/>
        <w:rPr>
          <w:rFonts w:eastAsia="Times New Roman" w:cs="Times New Roman"/>
        </w:rPr>
      </w:pPr>
    </w:p>
    <w:p w:rsidR="00982666" w:rsidRPr="00FF59E2" w:rsidRDefault="009423CB" w:rsidP="00172DB8">
      <w:pPr>
        <w:numPr>
          <w:ilvl w:val="0"/>
          <w:numId w:val="1"/>
        </w:numPr>
        <w:autoSpaceDE w:val="0"/>
        <w:autoSpaceDN w:val="0"/>
        <w:adjustRightInd w:val="0"/>
        <w:spacing w:line="240" w:lineRule="auto"/>
        <w:ind w:left="720" w:hanging="360"/>
        <w:contextualSpacing/>
        <w:rPr>
          <w:rFonts w:eastAsia="Times New Roman" w:cs="Times New Roman"/>
        </w:rPr>
      </w:pPr>
      <w:r w:rsidRPr="00FF59E2">
        <w:rPr>
          <w:rFonts w:eastAsia="Times New Roman" w:cs="Times New Roman"/>
        </w:rPr>
        <w:t>On March 6, 2013, t</w:t>
      </w:r>
      <w:r w:rsidR="00982666" w:rsidRPr="00FF59E2">
        <w:rPr>
          <w:rFonts w:eastAsia="Times New Roman" w:cs="Times New Roman"/>
        </w:rPr>
        <w:t xml:space="preserve">he MPCA received </w:t>
      </w:r>
      <w:r w:rsidR="00B90C44" w:rsidRPr="00FF59E2">
        <w:rPr>
          <w:rFonts w:eastAsia="Times New Roman" w:cs="Times New Roman"/>
        </w:rPr>
        <w:t>two (2</w:t>
      </w:r>
      <w:r w:rsidR="00982666" w:rsidRPr="00FF59E2">
        <w:rPr>
          <w:rFonts w:eastAsia="Times New Roman" w:cs="Times New Roman"/>
        </w:rPr>
        <w:t>) t</w:t>
      </w:r>
      <w:r w:rsidR="00B90C44" w:rsidRPr="00FF59E2">
        <w:rPr>
          <w:rFonts w:eastAsia="Times New Roman" w:cs="Times New Roman"/>
        </w:rPr>
        <w:t>imely</w:t>
      </w:r>
      <w:r w:rsidR="00982666" w:rsidRPr="00FF59E2">
        <w:rPr>
          <w:rFonts w:eastAsia="Times New Roman" w:cs="Times New Roman"/>
        </w:rPr>
        <w:t xml:space="preserve"> </w:t>
      </w:r>
      <w:r w:rsidR="00B90C44" w:rsidRPr="00FF59E2">
        <w:rPr>
          <w:rFonts w:eastAsia="Times New Roman" w:cs="Times New Roman"/>
        </w:rPr>
        <w:t>requests, each with multiple signatures,</w:t>
      </w:r>
      <w:r w:rsidR="00982666" w:rsidRPr="00FF59E2">
        <w:rPr>
          <w:rFonts w:eastAsia="Times New Roman" w:cs="Times New Roman"/>
        </w:rPr>
        <w:t xml:space="preserve"> for a Contested Case Hearing </w:t>
      </w:r>
      <w:r w:rsidR="00AA2225" w:rsidRPr="00FF59E2">
        <w:rPr>
          <w:rFonts w:eastAsia="Times New Roman" w:cs="Times New Roman"/>
        </w:rPr>
        <w:t xml:space="preserve">(CCH) </w:t>
      </w:r>
      <w:r w:rsidR="00982666" w:rsidRPr="00FF59E2">
        <w:rPr>
          <w:rFonts w:eastAsia="Times New Roman" w:cs="Times New Roman"/>
        </w:rPr>
        <w:t xml:space="preserve">on the draft </w:t>
      </w:r>
      <w:r w:rsidR="008D6999" w:rsidRPr="00FF59E2">
        <w:rPr>
          <w:rFonts w:eastAsia="Times New Roman" w:cs="Times New Roman"/>
        </w:rPr>
        <w:t>Little Rock Creek</w:t>
      </w:r>
      <w:r w:rsidR="00982666" w:rsidRPr="00FF59E2">
        <w:rPr>
          <w:rFonts w:eastAsia="Times New Roman" w:cs="Times New Roman"/>
        </w:rPr>
        <w:t xml:space="preserve"> TMDL study</w:t>
      </w:r>
      <w:r w:rsidR="00B90C44" w:rsidRPr="00FF59E2">
        <w:rPr>
          <w:rFonts w:eastAsia="Times New Roman" w:cs="Times New Roman"/>
        </w:rPr>
        <w:t>. The letters</w:t>
      </w:r>
      <w:r w:rsidR="00982666" w:rsidRPr="00FF59E2">
        <w:rPr>
          <w:rFonts w:eastAsia="Times New Roman" w:cs="Times New Roman"/>
        </w:rPr>
        <w:t xml:space="preserve"> </w:t>
      </w:r>
      <w:r w:rsidR="00592E6A" w:rsidRPr="00FF59E2">
        <w:rPr>
          <w:rFonts w:eastAsia="Times New Roman" w:cs="Times New Roman"/>
        </w:rPr>
        <w:t xml:space="preserve">requesting a CCH </w:t>
      </w:r>
      <w:proofErr w:type="gramStart"/>
      <w:r w:rsidR="00592E6A" w:rsidRPr="00FF59E2">
        <w:rPr>
          <w:rFonts w:eastAsia="Times New Roman" w:cs="Times New Roman"/>
        </w:rPr>
        <w:t>are hereby incorporated</w:t>
      </w:r>
      <w:proofErr w:type="gramEnd"/>
      <w:r w:rsidR="00592E6A" w:rsidRPr="00FF59E2">
        <w:rPr>
          <w:rFonts w:eastAsia="Times New Roman" w:cs="Times New Roman"/>
        </w:rPr>
        <w:t xml:space="preserve"> by reference as Appendix </w:t>
      </w:r>
      <w:r w:rsidR="00014D02" w:rsidRPr="00FF59E2">
        <w:rPr>
          <w:rFonts w:eastAsia="Times New Roman" w:cs="Times New Roman"/>
        </w:rPr>
        <w:t>B</w:t>
      </w:r>
      <w:r w:rsidR="00592E6A" w:rsidRPr="00FF59E2">
        <w:rPr>
          <w:rFonts w:eastAsia="Times New Roman" w:cs="Times New Roman"/>
        </w:rPr>
        <w:t xml:space="preserve"> to these findings. The two letters </w:t>
      </w:r>
      <w:proofErr w:type="gramStart"/>
      <w:r w:rsidR="00592E6A" w:rsidRPr="00FF59E2">
        <w:rPr>
          <w:rFonts w:eastAsia="Times New Roman" w:cs="Times New Roman"/>
        </w:rPr>
        <w:t xml:space="preserve">are </w:t>
      </w:r>
      <w:r w:rsidR="0037418B" w:rsidRPr="00FF59E2">
        <w:rPr>
          <w:rFonts w:eastAsia="Times New Roman" w:cs="Times New Roman"/>
        </w:rPr>
        <w:t xml:space="preserve">hereinafter </w:t>
      </w:r>
      <w:r w:rsidR="00592E6A" w:rsidRPr="00FF59E2">
        <w:rPr>
          <w:rFonts w:eastAsia="Times New Roman" w:cs="Times New Roman"/>
        </w:rPr>
        <w:t>identified</w:t>
      </w:r>
      <w:proofErr w:type="gramEnd"/>
      <w:r w:rsidR="00592E6A" w:rsidRPr="00FF59E2">
        <w:rPr>
          <w:rFonts w:eastAsia="Times New Roman" w:cs="Times New Roman"/>
        </w:rPr>
        <w:t xml:space="preserve"> as </w:t>
      </w:r>
      <w:r w:rsidR="00E00230" w:rsidRPr="00FF59E2">
        <w:rPr>
          <w:rFonts w:eastAsia="Times New Roman" w:cs="Times New Roman"/>
        </w:rPr>
        <w:t>“</w:t>
      </w:r>
      <w:r w:rsidR="00592E6A" w:rsidRPr="00FF59E2">
        <w:rPr>
          <w:rFonts w:eastAsia="Times New Roman" w:cs="Times New Roman"/>
        </w:rPr>
        <w:t>CCH A</w:t>
      </w:r>
      <w:r w:rsidR="00E00230" w:rsidRPr="00FF59E2">
        <w:rPr>
          <w:rFonts w:eastAsia="Times New Roman" w:cs="Times New Roman"/>
        </w:rPr>
        <w:t>”</w:t>
      </w:r>
      <w:r w:rsidR="00592E6A" w:rsidRPr="00FF59E2">
        <w:rPr>
          <w:rFonts w:eastAsia="Times New Roman" w:cs="Times New Roman"/>
        </w:rPr>
        <w:t xml:space="preserve"> and </w:t>
      </w:r>
      <w:r w:rsidR="00E00230" w:rsidRPr="00FF59E2">
        <w:rPr>
          <w:rFonts w:eastAsia="Times New Roman" w:cs="Times New Roman"/>
        </w:rPr>
        <w:t>“</w:t>
      </w:r>
      <w:r w:rsidR="00592E6A" w:rsidRPr="00FF59E2">
        <w:rPr>
          <w:rFonts w:eastAsia="Times New Roman" w:cs="Times New Roman"/>
        </w:rPr>
        <w:t>CCH B.</w:t>
      </w:r>
      <w:r w:rsidR="00E00230" w:rsidRPr="00FF59E2">
        <w:rPr>
          <w:rFonts w:eastAsia="Times New Roman" w:cs="Times New Roman"/>
        </w:rPr>
        <w:t>”</w:t>
      </w:r>
      <w:r w:rsidR="00592E6A" w:rsidRPr="00FF59E2">
        <w:rPr>
          <w:rFonts w:eastAsia="Times New Roman" w:cs="Times New Roman"/>
        </w:rPr>
        <w:t xml:space="preserve"> The </w:t>
      </w:r>
      <w:r w:rsidR="00945F41" w:rsidRPr="00FF59E2">
        <w:rPr>
          <w:rFonts w:eastAsia="Times New Roman" w:cs="Times New Roman"/>
        </w:rPr>
        <w:t xml:space="preserve">text of the </w:t>
      </w:r>
      <w:r w:rsidR="00592E6A" w:rsidRPr="00FF59E2">
        <w:rPr>
          <w:rFonts w:eastAsia="Times New Roman" w:cs="Times New Roman"/>
        </w:rPr>
        <w:t xml:space="preserve">two letters </w:t>
      </w:r>
      <w:r w:rsidR="00945F41" w:rsidRPr="00FF59E2">
        <w:rPr>
          <w:rFonts w:eastAsia="Times New Roman" w:cs="Times New Roman"/>
        </w:rPr>
        <w:t xml:space="preserve">is </w:t>
      </w:r>
      <w:r w:rsidR="00B90C44" w:rsidRPr="00FF59E2">
        <w:rPr>
          <w:rFonts w:eastAsia="Times New Roman" w:cs="Times New Roman"/>
        </w:rPr>
        <w:t xml:space="preserve">identical except for </w:t>
      </w:r>
      <w:r w:rsidR="00945F41" w:rsidRPr="00FF59E2">
        <w:rPr>
          <w:rFonts w:eastAsia="Times New Roman" w:cs="Times New Roman"/>
        </w:rPr>
        <w:t>one</w:t>
      </w:r>
      <w:r w:rsidR="00592E6A" w:rsidRPr="00FF59E2">
        <w:rPr>
          <w:rFonts w:eastAsia="Times New Roman" w:cs="Times New Roman"/>
        </w:rPr>
        <w:t xml:space="preserve"> additional </w:t>
      </w:r>
      <w:r w:rsidR="0026001F" w:rsidRPr="00FF59E2">
        <w:rPr>
          <w:rFonts w:eastAsia="Times New Roman" w:cs="Times New Roman"/>
        </w:rPr>
        <w:t>“matter of concern”</w:t>
      </w:r>
      <w:r w:rsidR="00B90C44" w:rsidRPr="00FF59E2">
        <w:rPr>
          <w:rFonts w:eastAsia="Times New Roman" w:cs="Times New Roman"/>
        </w:rPr>
        <w:t xml:space="preserve"> </w:t>
      </w:r>
      <w:r w:rsidR="00592E6A" w:rsidRPr="00FF59E2">
        <w:rPr>
          <w:rFonts w:eastAsia="Times New Roman" w:cs="Times New Roman"/>
        </w:rPr>
        <w:t xml:space="preserve">on stream classification </w:t>
      </w:r>
      <w:r w:rsidR="00B90C44" w:rsidRPr="00FF59E2">
        <w:rPr>
          <w:rFonts w:eastAsia="Times New Roman" w:cs="Times New Roman"/>
        </w:rPr>
        <w:t xml:space="preserve">in </w:t>
      </w:r>
      <w:r w:rsidR="00A2508C" w:rsidRPr="00FF59E2">
        <w:rPr>
          <w:rFonts w:eastAsia="Times New Roman" w:cs="Times New Roman"/>
        </w:rPr>
        <w:t>CCH</w:t>
      </w:r>
      <w:r w:rsidR="00B90C44" w:rsidRPr="00FF59E2">
        <w:rPr>
          <w:rFonts w:eastAsia="Times New Roman" w:cs="Times New Roman"/>
        </w:rPr>
        <w:t xml:space="preserve"> </w:t>
      </w:r>
      <w:r w:rsidR="00A2508C" w:rsidRPr="00FF59E2">
        <w:rPr>
          <w:rFonts w:eastAsia="Times New Roman" w:cs="Times New Roman"/>
        </w:rPr>
        <w:t>B</w:t>
      </w:r>
      <w:r w:rsidR="00B90C44" w:rsidRPr="00FF59E2">
        <w:rPr>
          <w:rFonts w:eastAsia="Times New Roman" w:cs="Times New Roman"/>
        </w:rPr>
        <w:t xml:space="preserve">. </w:t>
      </w:r>
    </w:p>
    <w:p w:rsidR="00982666" w:rsidRPr="001F123C" w:rsidRDefault="00982666" w:rsidP="00172DB8">
      <w:pPr>
        <w:autoSpaceDE w:val="0"/>
        <w:autoSpaceDN w:val="0"/>
        <w:adjustRightInd w:val="0"/>
        <w:spacing w:line="240" w:lineRule="auto"/>
        <w:ind w:left="720" w:hanging="360"/>
        <w:rPr>
          <w:rFonts w:eastAsia="Times New Roman" w:cs="Times New Roman"/>
        </w:rPr>
      </w:pPr>
    </w:p>
    <w:p w:rsidR="00982666" w:rsidRPr="001F123C" w:rsidRDefault="00E00230"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On March 29, 2013, the MPCA received a letter identical in content to CCH B</w:t>
      </w:r>
      <w:r w:rsidR="0037418B" w:rsidRPr="001F123C">
        <w:rPr>
          <w:rFonts w:eastAsia="Times New Roman" w:cs="Times New Roman"/>
        </w:rPr>
        <w:t xml:space="preserve"> with f</w:t>
      </w:r>
      <w:r w:rsidR="00840732" w:rsidRPr="001F123C">
        <w:rPr>
          <w:rFonts w:eastAsia="Times New Roman" w:cs="Times New Roman"/>
        </w:rPr>
        <w:t>ive</w:t>
      </w:r>
      <w:r w:rsidR="00982666" w:rsidRPr="001F123C">
        <w:rPr>
          <w:rFonts w:eastAsia="Times New Roman" w:cs="Times New Roman"/>
        </w:rPr>
        <w:t xml:space="preserve"> (</w:t>
      </w:r>
      <w:r w:rsidR="00840732" w:rsidRPr="001F123C">
        <w:rPr>
          <w:rFonts w:eastAsia="Times New Roman" w:cs="Times New Roman"/>
        </w:rPr>
        <w:t>5</w:t>
      </w:r>
      <w:r w:rsidR="00982666" w:rsidRPr="001F123C">
        <w:rPr>
          <w:rFonts w:eastAsia="Times New Roman" w:cs="Times New Roman"/>
        </w:rPr>
        <w:t xml:space="preserve">) </w:t>
      </w:r>
      <w:r w:rsidR="00840732" w:rsidRPr="001F123C">
        <w:rPr>
          <w:rFonts w:eastAsia="Times New Roman" w:cs="Times New Roman"/>
        </w:rPr>
        <w:t>signatures</w:t>
      </w:r>
      <w:r w:rsidR="0037418B" w:rsidRPr="001F123C">
        <w:rPr>
          <w:rFonts w:eastAsia="Times New Roman" w:cs="Times New Roman"/>
        </w:rPr>
        <w:t>.</w:t>
      </w:r>
      <w:r w:rsidR="00840732" w:rsidRPr="001F123C">
        <w:rPr>
          <w:rFonts w:eastAsia="Times New Roman" w:cs="Times New Roman"/>
        </w:rPr>
        <w:t xml:space="preserve"> </w:t>
      </w:r>
      <w:r w:rsidR="0037418B" w:rsidRPr="001F123C">
        <w:rPr>
          <w:rFonts w:eastAsia="Times New Roman" w:cs="Times New Roman"/>
        </w:rPr>
        <w:t>The MPCA received the March 29, 2013</w:t>
      </w:r>
      <w:r w:rsidR="00945F41">
        <w:rPr>
          <w:rFonts w:eastAsia="Times New Roman" w:cs="Times New Roman"/>
        </w:rPr>
        <w:t>,</w:t>
      </w:r>
      <w:r w:rsidR="0037418B" w:rsidRPr="001F123C">
        <w:rPr>
          <w:rFonts w:eastAsia="Times New Roman" w:cs="Times New Roman"/>
        </w:rPr>
        <w:t xml:space="preserve"> letter </w:t>
      </w:r>
      <w:r w:rsidR="00840732" w:rsidRPr="001F123C">
        <w:rPr>
          <w:rFonts w:eastAsia="Times New Roman" w:cs="Times New Roman"/>
        </w:rPr>
        <w:t>outside the</w:t>
      </w:r>
      <w:r w:rsidR="00982666" w:rsidRPr="001F123C">
        <w:rPr>
          <w:rFonts w:eastAsia="Times New Roman" w:cs="Times New Roman"/>
        </w:rPr>
        <w:t xml:space="preserve"> comment period</w:t>
      </w:r>
      <w:r w:rsidR="00840732" w:rsidRPr="001F123C">
        <w:rPr>
          <w:rFonts w:eastAsia="Times New Roman" w:cs="Times New Roman"/>
        </w:rPr>
        <w:t xml:space="preserve"> and therefore</w:t>
      </w:r>
      <w:r w:rsidR="000355A4" w:rsidRPr="001F123C">
        <w:rPr>
          <w:rFonts w:eastAsia="Times New Roman" w:cs="Times New Roman"/>
        </w:rPr>
        <w:t>,</w:t>
      </w:r>
      <w:r w:rsidR="00840732" w:rsidRPr="001F123C">
        <w:rPr>
          <w:rFonts w:eastAsia="Times New Roman" w:cs="Times New Roman"/>
        </w:rPr>
        <w:t xml:space="preserve"> </w:t>
      </w:r>
      <w:r w:rsidR="0037418B" w:rsidRPr="001F123C">
        <w:rPr>
          <w:rFonts w:eastAsia="Times New Roman" w:cs="Times New Roman"/>
        </w:rPr>
        <w:t xml:space="preserve">the letter </w:t>
      </w:r>
      <w:r w:rsidR="0000775D">
        <w:rPr>
          <w:rFonts w:eastAsia="Times New Roman" w:cs="Times New Roman"/>
        </w:rPr>
        <w:t>was</w:t>
      </w:r>
      <w:r w:rsidR="00840732" w:rsidRPr="001F123C">
        <w:rPr>
          <w:rFonts w:eastAsia="Times New Roman" w:cs="Times New Roman"/>
        </w:rPr>
        <w:t xml:space="preserve"> not timely</w:t>
      </w:r>
      <w:r w:rsidR="00982666" w:rsidRPr="001F123C">
        <w:rPr>
          <w:rFonts w:eastAsia="Times New Roman" w:cs="Times New Roman"/>
        </w:rPr>
        <w:t>.</w:t>
      </w:r>
    </w:p>
    <w:p w:rsidR="00982666" w:rsidRDefault="00982666" w:rsidP="00172DB8">
      <w:pPr>
        <w:autoSpaceDE w:val="0"/>
        <w:autoSpaceDN w:val="0"/>
        <w:adjustRightInd w:val="0"/>
        <w:spacing w:line="240" w:lineRule="auto"/>
        <w:rPr>
          <w:rFonts w:eastAsia="Times New Roman" w:cs="Times New Roman"/>
        </w:rPr>
      </w:pPr>
    </w:p>
    <w:p w:rsidR="00971487" w:rsidRDefault="00971487">
      <w:pPr>
        <w:rPr>
          <w:rFonts w:eastAsia="Times New Roman" w:cs="Times New Roman"/>
          <w:b/>
          <w:bCs/>
          <w:i/>
          <w:iCs/>
        </w:rPr>
      </w:pPr>
    </w:p>
    <w:p w:rsidR="00982666" w:rsidRPr="001F123C" w:rsidRDefault="009E1DA8" w:rsidP="00172DB8">
      <w:pPr>
        <w:numPr>
          <w:ilvl w:val="0"/>
          <w:numId w:val="6"/>
        </w:numPr>
        <w:autoSpaceDE w:val="0"/>
        <w:autoSpaceDN w:val="0"/>
        <w:adjustRightInd w:val="0"/>
        <w:spacing w:line="240" w:lineRule="auto"/>
        <w:contextualSpacing/>
        <w:rPr>
          <w:rFonts w:eastAsia="Times New Roman" w:cs="Times New Roman"/>
          <w:b/>
          <w:bCs/>
          <w:i/>
          <w:iCs/>
        </w:rPr>
      </w:pPr>
      <w:r w:rsidRPr="001F123C">
        <w:rPr>
          <w:rFonts w:eastAsia="Times New Roman" w:cs="Times New Roman"/>
          <w:b/>
          <w:bCs/>
          <w:i/>
          <w:iCs/>
        </w:rPr>
        <w:t xml:space="preserve">Criteria for Content and Evaluation of </w:t>
      </w:r>
      <w:r w:rsidR="00982666" w:rsidRPr="001F123C">
        <w:rPr>
          <w:rFonts w:eastAsia="Times New Roman" w:cs="Times New Roman"/>
          <w:b/>
          <w:bCs/>
          <w:i/>
          <w:iCs/>
        </w:rPr>
        <w:t>Petitions for a Contested Case Hearing</w:t>
      </w:r>
    </w:p>
    <w:p w:rsidR="00792D23" w:rsidRPr="001F123C" w:rsidRDefault="00792D23" w:rsidP="00172DB8">
      <w:pPr>
        <w:pStyle w:val="ListParagraph"/>
        <w:spacing w:line="240" w:lineRule="auto"/>
        <w:rPr>
          <w:rFonts w:eastAsia="Times New Roman" w:cs="Times New Roman"/>
        </w:rPr>
      </w:pPr>
    </w:p>
    <w:p w:rsidR="00792D23" w:rsidRPr="001F123C" w:rsidRDefault="00D1501E" w:rsidP="00172DB8">
      <w:pPr>
        <w:pStyle w:val="ListParagraph"/>
        <w:numPr>
          <w:ilvl w:val="0"/>
          <w:numId w:val="1"/>
        </w:numPr>
        <w:autoSpaceDE w:val="0"/>
        <w:autoSpaceDN w:val="0"/>
        <w:adjustRightInd w:val="0"/>
        <w:spacing w:after="60" w:line="240" w:lineRule="auto"/>
        <w:ind w:left="720" w:hanging="360"/>
        <w:contextualSpacing w:val="0"/>
      </w:pPr>
      <w:r w:rsidRPr="00D444DF">
        <w:t>The MPCA must determine if a request for a contested case hearing meets certain criteria specified in Minn</w:t>
      </w:r>
      <w:r>
        <w:t xml:space="preserve">esota Rules. </w:t>
      </w:r>
      <w:proofErr w:type="gramStart"/>
      <w:r w:rsidRPr="00D444DF">
        <w:t xml:space="preserve">Minn. R. 7000.1800, </w:t>
      </w:r>
      <w:proofErr w:type="spellStart"/>
      <w:r w:rsidRPr="00D444DF">
        <w:t>subp</w:t>
      </w:r>
      <w:proofErr w:type="spellEnd"/>
      <w:r w:rsidRPr="00D444DF">
        <w:t>.</w:t>
      </w:r>
      <w:proofErr w:type="gramEnd"/>
      <w:r w:rsidRPr="00D444DF">
        <w:t xml:space="preserve"> 2</w:t>
      </w:r>
      <w:r>
        <w:t>(</w:t>
      </w:r>
      <w:r w:rsidRPr="00D444DF">
        <w:t>A</w:t>
      </w:r>
      <w:r>
        <w:t>)</w:t>
      </w:r>
      <w:r w:rsidRPr="00D444DF">
        <w:t>, requires that a contested case hearing petition include:</w:t>
      </w:r>
      <w:r w:rsidR="00792D23" w:rsidRPr="001F123C">
        <w:t xml:space="preserve"> </w:t>
      </w:r>
    </w:p>
    <w:p w:rsidR="00792D23" w:rsidRPr="001F123C" w:rsidRDefault="00792D23" w:rsidP="00172DB8">
      <w:pPr>
        <w:pStyle w:val="ListParagraph"/>
        <w:numPr>
          <w:ilvl w:val="0"/>
          <w:numId w:val="19"/>
        </w:numPr>
        <w:autoSpaceDE w:val="0"/>
        <w:autoSpaceDN w:val="0"/>
        <w:adjustRightInd w:val="0"/>
        <w:spacing w:after="60" w:line="240" w:lineRule="auto"/>
        <w:ind w:left="1440" w:right="720"/>
        <w:contextualSpacing w:val="0"/>
      </w:pPr>
      <w:proofErr w:type="gramStart"/>
      <w:r w:rsidRPr="001F123C">
        <w:lastRenderedPageBreak/>
        <w:t>a</w:t>
      </w:r>
      <w:proofErr w:type="gramEnd"/>
      <w:r w:rsidRPr="001F123C">
        <w:t xml:space="preserve"> statement of reasons or proposed findings supporting a board or commissioner decision to hold a contested case hearing pursuant to the criteria in Minn.</w:t>
      </w:r>
      <w:r w:rsidR="00D1501E">
        <w:t xml:space="preserve"> R. 7000.1900, </w:t>
      </w:r>
      <w:proofErr w:type="spellStart"/>
      <w:r w:rsidR="00D1501E">
        <w:t>subp</w:t>
      </w:r>
      <w:proofErr w:type="spellEnd"/>
      <w:r w:rsidR="00D1501E">
        <w:t>.</w:t>
      </w:r>
      <w:r w:rsidRPr="001F123C">
        <w:t xml:space="preserve"> 1; and</w:t>
      </w:r>
    </w:p>
    <w:p w:rsidR="00792D23" w:rsidRPr="001F123C" w:rsidRDefault="00792D23" w:rsidP="00172DB8">
      <w:pPr>
        <w:pStyle w:val="ListParagraph"/>
        <w:numPr>
          <w:ilvl w:val="0"/>
          <w:numId w:val="19"/>
        </w:numPr>
        <w:autoSpaceDE w:val="0"/>
        <w:autoSpaceDN w:val="0"/>
        <w:adjustRightInd w:val="0"/>
        <w:spacing w:line="240" w:lineRule="auto"/>
        <w:ind w:left="1440" w:right="720"/>
        <w:contextualSpacing w:val="0"/>
      </w:pPr>
      <w:proofErr w:type="gramStart"/>
      <w:r w:rsidRPr="001F123C">
        <w:t>a</w:t>
      </w:r>
      <w:proofErr w:type="gramEnd"/>
      <w:r w:rsidRPr="001F123C">
        <w:t xml:space="preserve"> statement of the issues proposed to be addressed by a contested case hearing and the specific relief requested or resolution of the matter.</w:t>
      </w:r>
    </w:p>
    <w:p w:rsidR="00792D23" w:rsidRPr="001F123C" w:rsidRDefault="00792D23" w:rsidP="00172DB8">
      <w:pPr>
        <w:autoSpaceDE w:val="0"/>
        <w:autoSpaceDN w:val="0"/>
        <w:adjustRightInd w:val="0"/>
        <w:spacing w:line="240" w:lineRule="auto"/>
        <w:ind w:right="720"/>
        <w:contextualSpacing/>
        <w:rPr>
          <w:rFonts w:eastAsia="Times New Roman" w:cs="Times New Roman"/>
        </w:rPr>
      </w:pPr>
    </w:p>
    <w:p w:rsidR="00FF2AD3" w:rsidRPr="001F123C" w:rsidRDefault="00FF2AD3" w:rsidP="00172DB8">
      <w:pPr>
        <w:pStyle w:val="ListParagraph"/>
        <w:numPr>
          <w:ilvl w:val="0"/>
          <w:numId w:val="1"/>
        </w:numPr>
        <w:tabs>
          <w:tab w:val="left" w:pos="720"/>
          <w:tab w:val="left" w:pos="990"/>
        </w:tabs>
        <w:autoSpaceDE w:val="0"/>
        <w:autoSpaceDN w:val="0"/>
        <w:adjustRightInd w:val="0"/>
        <w:spacing w:after="60" w:line="240" w:lineRule="auto"/>
        <w:ind w:left="720" w:hanging="360"/>
        <w:rPr>
          <w:rFonts w:eastAsia="Times New Roman" w:cs="Times New Roman"/>
        </w:rPr>
      </w:pPr>
      <w:r w:rsidRPr="001F123C">
        <w:rPr>
          <w:rFonts w:eastAsia="Times New Roman" w:cs="Times New Roman"/>
        </w:rPr>
        <w:t xml:space="preserve">The MPCA notes that while the information specified in Minn. R. 7000.1800, </w:t>
      </w:r>
      <w:proofErr w:type="spellStart"/>
      <w:r w:rsidRPr="001F123C">
        <w:rPr>
          <w:rFonts w:eastAsia="Times New Roman" w:cs="Times New Roman"/>
        </w:rPr>
        <w:t>subp</w:t>
      </w:r>
      <w:proofErr w:type="spellEnd"/>
      <w:r w:rsidRPr="001F123C">
        <w:rPr>
          <w:rFonts w:eastAsia="Times New Roman" w:cs="Times New Roman"/>
        </w:rPr>
        <w:t>. 2</w:t>
      </w:r>
      <w:r w:rsidR="0047123D">
        <w:rPr>
          <w:rFonts w:eastAsia="Times New Roman" w:cs="Times New Roman"/>
        </w:rPr>
        <w:t>(</w:t>
      </w:r>
      <w:r w:rsidRPr="001F123C">
        <w:rPr>
          <w:rFonts w:eastAsia="Times New Roman" w:cs="Times New Roman"/>
        </w:rPr>
        <w:t>B</w:t>
      </w:r>
      <w:r w:rsidR="0047123D">
        <w:rPr>
          <w:rFonts w:eastAsia="Times New Roman" w:cs="Times New Roman"/>
        </w:rPr>
        <w:t>)</w:t>
      </w:r>
      <w:r w:rsidRPr="001F123C">
        <w:rPr>
          <w:rFonts w:eastAsia="Times New Roman" w:cs="Times New Roman"/>
        </w:rPr>
        <w:t xml:space="preserve"> is not required in a contested case hearing </w:t>
      </w:r>
      <w:proofErr w:type="gramStart"/>
      <w:r w:rsidRPr="001F123C">
        <w:rPr>
          <w:rFonts w:eastAsia="Times New Roman" w:cs="Times New Roman"/>
        </w:rPr>
        <w:t>petition,</w:t>
      </w:r>
      <w:proofErr w:type="gramEnd"/>
      <w:r w:rsidRPr="001F123C">
        <w:rPr>
          <w:rFonts w:eastAsia="Times New Roman" w:cs="Times New Roman"/>
        </w:rPr>
        <w:t xml:space="preserve"> it is information that is helpful to the agency as it considers whether a hearing will aid the agency in making a final decision. The information specified in </w:t>
      </w:r>
      <w:proofErr w:type="spellStart"/>
      <w:r w:rsidRPr="001F123C">
        <w:rPr>
          <w:rFonts w:eastAsia="Times New Roman" w:cs="Times New Roman"/>
        </w:rPr>
        <w:t>subp</w:t>
      </w:r>
      <w:proofErr w:type="spellEnd"/>
      <w:r w:rsidRPr="001F123C">
        <w:rPr>
          <w:rFonts w:eastAsia="Times New Roman" w:cs="Times New Roman"/>
        </w:rPr>
        <w:t>. 2</w:t>
      </w:r>
      <w:r w:rsidR="0047123D">
        <w:rPr>
          <w:rFonts w:eastAsia="Times New Roman" w:cs="Times New Roman"/>
        </w:rPr>
        <w:t>(</w:t>
      </w:r>
      <w:r w:rsidRPr="001F123C">
        <w:rPr>
          <w:rFonts w:eastAsia="Times New Roman" w:cs="Times New Roman"/>
        </w:rPr>
        <w:t>B</w:t>
      </w:r>
      <w:r w:rsidR="0047123D">
        <w:rPr>
          <w:rFonts w:eastAsia="Times New Roman" w:cs="Times New Roman"/>
        </w:rPr>
        <w:t>)</w:t>
      </w:r>
      <w:r w:rsidRPr="001F123C">
        <w:rPr>
          <w:rFonts w:eastAsia="Times New Roman" w:cs="Times New Roman"/>
        </w:rPr>
        <w:t xml:space="preserve"> is:</w:t>
      </w:r>
    </w:p>
    <w:p w:rsidR="00FF2AD3" w:rsidRPr="001F123C" w:rsidRDefault="00FF2AD3" w:rsidP="00172DB8">
      <w:pPr>
        <w:tabs>
          <w:tab w:val="left" w:pos="725"/>
          <w:tab w:val="left" w:pos="1088"/>
        </w:tabs>
        <w:autoSpaceDE w:val="0"/>
        <w:autoSpaceDN w:val="0"/>
        <w:adjustRightInd w:val="0"/>
        <w:spacing w:after="60" w:line="240" w:lineRule="auto"/>
        <w:ind w:left="1440" w:hanging="360"/>
        <w:rPr>
          <w:rFonts w:eastAsia="Times New Roman" w:cs="Times New Roman"/>
        </w:rPr>
      </w:pPr>
      <w:r w:rsidRPr="001F123C">
        <w:rPr>
          <w:rFonts w:eastAsia="Times New Roman" w:cs="Times New Roman"/>
        </w:rPr>
        <w:t>(1)</w:t>
      </w:r>
      <w:r w:rsidRPr="001F123C">
        <w:rPr>
          <w:rFonts w:eastAsia="Times New Roman" w:cs="Times New Roman"/>
        </w:rPr>
        <w:tab/>
      </w:r>
      <w:proofErr w:type="gramStart"/>
      <w:r w:rsidRPr="001F123C">
        <w:rPr>
          <w:rFonts w:eastAsia="Times New Roman" w:cs="Times New Roman"/>
        </w:rPr>
        <w:t>a</w:t>
      </w:r>
      <w:proofErr w:type="gramEnd"/>
      <w:r w:rsidRPr="001F123C">
        <w:rPr>
          <w:rFonts w:eastAsia="Times New Roman" w:cs="Times New Roman"/>
        </w:rPr>
        <w:t xml:space="preserve"> proposed list of prospective witnesses to be called at the hearing, including experts, with a brief description of the testimony they will provide;</w:t>
      </w:r>
    </w:p>
    <w:p w:rsidR="00FF2AD3" w:rsidRPr="001F123C" w:rsidRDefault="00FF2AD3" w:rsidP="00172DB8">
      <w:pPr>
        <w:tabs>
          <w:tab w:val="left" w:pos="725"/>
          <w:tab w:val="left" w:pos="1088"/>
        </w:tabs>
        <w:autoSpaceDE w:val="0"/>
        <w:autoSpaceDN w:val="0"/>
        <w:adjustRightInd w:val="0"/>
        <w:spacing w:after="60" w:line="240" w:lineRule="auto"/>
        <w:ind w:left="1440" w:hanging="360"/>
        <w:rPr>
          <w:rFonts w:eastAsia="Times New Roman" w:cs="Times New Roman"/>
        </w:rPr>
      </w:pPr>
      <w:r w:rsidRPr="001F123C">
        <w:rPr>
          <w:rFonts w:eastAsia="Times New Roman" w:cs="Times New Roman"/>
        </w:rPr>
        <w:t>(2)</w:t>
      </w:r>
      <w:r w:rsidRPr="001F123C">
        <w:rPr>
          <w:rFonts w:eastAsia="Times New Roman" w:cs="Times New Roman"/>
        </w:rPr>
        <w:tab/>
      </w:r>
      <w:proofErr w:type="gramStart"/>
      <w:r w:rsidRPr="001F123C">
        <w:rPr>
          <w:rFonts w:eastAsia="Times New Roman" w:cs="Times New Roman"/>
        </w:rPr>
        <w:t>a</w:t>
      </w:r>
      <w:proofErr w:type="gramEnd"/>
      <w:r w:rsidRPr="001F123C">
        <w:rPr>
          <w:rFonts w:eastAsia="Times New Roman" w:cs="Times New Roman"/>
        </w:rPr>
        <w:t xml:space="preserve"> proposed list of publications, references, or studies that the petitioner would introduce at the hearing; and </w:t>
      </w:r>
    </w:p>
    <w:p w:rsidR="00982666" w:rsidRPr="001F123C" w:rsidRDefault="00FF2AD3" w:rsidP="00172DB8">
      <w:pPr>
        <w:tabs>
          <w:tab w:val="left" w:pos="725"/>
          <w:tab w:val="left" w:pos="1088"/>
        </w:tabs>
        <w:autoSpaceDE w:val="0"/>
        <w:autoSpaceDN w:val="0"/>
        <w:adjustRightInd w:val="0"/>
        <w:spacing w:line="240" w:lineRule="auto"/>
        <w:ind w:left="1440" w:hanging="360"/>
        <w:rPr>
          <w:rFonts w:eastAsia="Times New Roman" w:cs="Times New Roman"/>
        </w:rPr>
      </w:pPr>
      <w:r w:rsidRPr="001F123C">
        <w:rPr>
          <w:rFonts w:eastAsia="Times New Roman" w:cs="Times New Roman"/>
        </w:rPr>
        <w:t>(3)</w:t>
      </w:r>
      <w:r w:rsidRPr="001F123C">
        <w:rPr>
          <w:rFonts w:eastAsia="Times New Roman" w:cs="Times New Roman"/>
        </w:rPr>
        <w:tab/>
      </w:r>
      <w:proofErr w:type="gramStart"/>
      <w:r w:rsidRPr="001F123C">
        <w:rPr>
          <w:rFonts w:eastAsia="Times New Roman" w:cs="Times New Roman"/>
        </w:rPr>
        <w:t>an</w:t>
      </w:r>
      <w:proofErr w:type="gramEnd"/>
      <w:r w:rsidRPr="001F123C">
        <w:rPr>
          <w:rFonts w:eastAsia="Times New Roman" w:cs="Times New Roman"/>
        </w:rPr>
        <w:t xml:space="preserve"> estimate of the time required for the petitioner to pr</w:t>
      </w:r>
      <w:r w:rsidR="00AA2225">
        <w:rPr>
          <w:rFonts w:eastAsia="Times New Roman" w:cs="Times New Roman"/>
        </w:rPr>
        <w:t xml:space="preserve">esent the case at a hearing. </w:t>
      </w:r>
    </w:p>
    <w:p w:rsidR="00FF2AD3" w:rsidRPr="001F123C" w:rsidRDefault="00FF2AD3" w:rsidP="00172DB8">
      <w:pPr>
        <w:tabs>
          <w:tab w:val="left" w:pos="725"/>
          <w:tab w:val="left" w:pos="1088"/>
        </w:tabs>
        <w:autoSpaceDE w:val="0"/>
        <w:autoSpaceDN w:val="0"/>
        <w:adjustRightInd w:val="0"/>
        <w:spacing w:line="240" w:lineRule="auto"/>
        <w:ind w:left="1088"/>
        <w:rPr>
          <w:rFonts w:eastAsia="Times New Roman" w:cs="Times New Roman"/>
        </w:rPr>
      </w:pPr>
    </w:p>
    <w:p w:rsidR="00982666" w:rsidRPr="001F123C" w:rsidRDefault="00982666" w:rsidP="00172DB8">
      <w:pPr>
        <w:numPr>
          <w:ilvl w:val="0"/>
          <w:numId w:val="1"/>
        </w:numPr>
        <w:autoSpaceDE w:val="0"/>
        <w:autoSpaceDN w:val="0"/>
        <w:adjustRightInd w:val="0"/>
        <w:spacing w:after="60" w:line="240" w:lineRule="auto"/>
        <w:ind w:left="720" w:hanging="360"/>
        <w:rPr>
          <w:rFonts w:eastAsia="Times New Roman" w:cs="Times New Roman"/>
        </w:rPr>
      </w:pPr>
      <w:r w:rsidRPr="001F123C">
        <w:rPr>
          <w:rFonts w:eastAsia="Times New Roman" w:cs="Times New Roman"/>
        </w:rPr>
        <w:t xml:space="preserve">The MPCA’s decision </w:t>
      </w:r>
      <w:proofErr w:type="gramStart"/>
      <w:r w:rsidRPr="001F123C">
        <w:rPr>
          <w:rFonts w:eastAsia="Times New Roman" w:cs="Times New Roman"/>
        </w:rPr>
        <w:t xml:space="preserve">whether to grant the petitions for a </w:t>
      </w:r>
      <w:r w:rsidR="0047123D">
        <w:rPr>
          <w:rFonts w:eastAsia="Times New Roman" w:cs="Times New Roman"/>
        </w:rPr>
        <w:t>c</w:t>
      </w:r>
      <w:r w:rsidRPr="001F123C">
        <w:rPr>
          <w:rFonts w:eastAsia="Times New Roman" w:cs="Times New Roman"/>
        </w:rPr>
        <w:t xml:space="preserve">ontested </w:t>
      </w:r>
      <w:r w:rsidR="0047123D">
        <w:rPr>
          <w:rFonts w:eastAsia="Times New Roman" w:cs="Times New Roman"/>
        </w:rPr>
        <w:t>c</w:t>
      </w:r>
      <w:r w:rsidRPr="001F123C">
        <w:rPr>
          <w:rFonts w:eastAsia="Times New Roman" w:cs="Times New Roman"/>
        </w:rPr>
        <w:t xml:space="preserve">ase </w:t>
      </w:r>
      <w:r w:rsidR="0047123D">
        <w:rPr>
          <w:rFonts w:eastAsia="Times New Roman" w:cs="Times New Roman"/>
        </w:rPr>
        <w:t>h</w:t>
      </w:r>
      <w:r w:rsidRPr="001F123C">
        <w:rPr>
          <w:rFonts w:eastAsia="Times New Roman" w:cs="Times New Roman"/>
        </w:rPr>
        <w:t xml:space="preserve">earing is governed by Minn. R. 7000.1900, </w:t>
      </w:r>
      <w:proofErr w:type="spellStart"/>
      <w:r w:rsidRPr="001F123C">
        <w:rPr>
          <w:rFonts w:eastAsia="Times New Roman" w:cs="Times New Roman"/>
        </w:rPr>
        <w:t>subp</w:t>
      </w:r>
      <w:proofErr w:type="spellEnd"/>
      <w:proofErr w:type="gramEnd"/>
      <w:r w:rsidRPr="001F123C">
        <w:rPr>
          <w:rFonts w:eastAsia="Times New Roman" w:cs="Times New Roman"/>
        </w:rPr>
        <w:t>. 1, which states:</w:t>
      </w:r>
    </w:p>
    <w:p w:rsidR="00982666" w:rsidRPr="001F123C" w:rsidRDefault="003C507B" w:rsidP="00172DB8">
      <w:pPr>
        <w:tabs>
          <w:tab w:val="left" w:pos="900"/>
        </w:tabs>
        <w:autoSpaceDE w:val="0"/>
        <w:autoSpaceDN w:val="0"/>
        <w:adjustRightInd w:val="0"/>
        <w:spacing w:after="60" w:line="240" w:lineRule="auto"/>
        <w:ind w:left="1080" w:right="720"/>
        <w:rPr>
          <w:rFonts w:eastAsia="Times New Roman" w:cs="Times New Roman"/>
        </w:rPr>
      </w:pPr>
      <w:r>
        <w:rPr>
          <w:rFonts w:eastAsia="Times New Roman" w:cs="Times New Roman"/>
        </w:rPr>
        <w:t>Subpart 1.</w:t>
      </w:r>
      <w:r w:rsidR="00982666" w:rsidRPr="0047123D">
        <w:rPr>
          <w:rFonts w:eastAsia="Times New Roman" w:cs="Times New Roman"/>
          <w:b/>
          <w:bCs/>
        </w:rPr>
        <w:t xml:space="preserve">Board or </w:t>
      </w:r>
      <w:r w:rsidR="00982666" w:rsidRPr="0047123D">
        <w:rPr>
          <w:rFonts w:eastAsia="Times New Roman" w:cs="Times New Roman"/>
          <w:b/>
        </w:rPr>
        <w:t>commissioner decision to hold Contested Case Hearing.</w:t>
      </w:r>
      <w:r w:rsidR="00982666" w:rsidRPr="001F123C">
        <w:rPr>
          <w:rFonts w:eastAsia="Times New Roman" w:cs="Times New Roman"/>
        </w:rPr>
        <w:t xml:space="preserve"> The board or commissioner must grant the petition to hold a contested case hearing or order upon its own motion that a contested case hearing </w:t>
      </w:r>
      <w:proofErr w:type="gramStart"/>
      <w:r w:rsidR="00982666" w:rsidRPr="001F123C">
        <w:rPr>
          <w:rFonts w:eastAsia="Times New Roman" w:cs="Times New Roman"/>
        </w:rPr>
        <w:t>be held</w:t>
      </w:r>
      <w:proofErr w:type="gramEnd"/>
      <w:r w:rsidR="00982666" w:rsidRPr="001F123C">
        <w:rPr>
          <w:rFonts w:eastAsia="Times New Roman" w:cs="Times New Roman"/>
        </w:rPr>
        <w:t xml:space="preserve"> if it finds that:</w:t>
      </w:r>
    </w:p>
    <w:p w:rsidR="00982666" w:rsidRPr="001F123C" w:rsidRDefault="00982666" w:rsidP="00172DB8">
      <w:pPr>
        <w:pStyle w:val="ListParagraph"/>
        <w:numPr>
          <w:ilvl w:val="0"/>
          <w:numId w:val="7"/>
        </w:numPr>
        <w:autoSpaceDE w:val="0"/>
        <w:autoSpaceDN w:val="0"/>
        <w:adjustRightInd w:val="0"/>
        <w:spacing w:after="60" w:line="240" w:lineRule="auto"/>
        <w:ind w:left="1440" w:right="720"/>
        <w:contextualSpacing w:val="0"/>
        <w:rPr>
          <w:rFonts w:eastAsia="Times New Roman" w:cs="Times New Roman"/>
        </w:rPr>
      </w:pPr>
      <w:r w:rsidRPr="001F123C">
        <w:rPr>
          <w:rFonts w:eastAsia="Times New Roman" w:cs="Times New Roman"/>
        </w:rPr>
        <w:t>there is a material issue of fact in dispute concerning the matter pending before the board or commissioner;</w:t>
      </w:r>
    </w:p>
    <w:p w:rsidR="00982666" w:rsidRPr="001F123C" w:rsidRDefault="00982666" w:rsidP="00172DB8">
      <w:pPr>
        <w:pStyle w:val="ListParagraph"/>
        <w:numPr>
          <w:ilvl w:val="0"/>
          <w:numId w:val="7"/>
        </w:numPr>
        <w:autoSpaceDE w:val="0"/>
        <w:autoSpaceDN w:val="0"/>
        <w:adjustRightInd w:val="0"/>
        <w:spacing w:after="60" w:line="240" w:lineRule="auto"/>
        <w:ind w:left="1440" w:right="720"/>
        <w:contextualSpacing w:val="0"/>
        <w:rPr>
          <w:rFonts w:eastAsia="Times New Roman" w:cs="Times New Roman"/>
        </w:rPr>
      </w:pPr>
      <w:r w:rsidRPr="001F123C">
        <w:rPr>
          <w:rFonts w:eastAsia="Times New Roman" w:cs="Times New Roman"/>
        </w:rPr>
        <w:t>the board or commissioner has the jurisdiction to make a determination on the disputed material issue of fact; and</w:t>
      </w:r>
    </w:p>
    <w:p w:rsidR="00982666" w:rsidRPr="001F123C" w:rsidRDefault="00982666" w:rsidP="00172DB8">
      <w:pPr>
        <w:pStyle w:val="ListParagraph"/>
        <w:numPr>
          <w:ilvl w:val="0"/>
          <w:numId w:val="7"/>
        </w:numPr>
        <w:autoSpaceDE w:val="0"/>
        <w:autoSpaceDN w:val="0"/>
        <w:adjustRightInd w:val="0"/>
        <w:spacing w:line="240" w:lineRule="auto"/>
        <w:ind w:left="1440" w:right="720"/>
        <w:rPr>
          <w:rFonts w:eastAsia="Times New Roman" w:cs="Times New Roman"/>
        </w:rPr>
      </w:pPr>
      <w:r w:rsidRPr="001F123C">
        <w:rPr>
          <w:rFonts w:eastAsia="Times New Roman" w:cs="Times New Roman"/>
        </w:rPr>
        <w:t>there is a reasonable basis underlying the disputed material issue of fact or facts such that the holding of a contested case hearing would allow the introduction of information that would aid the board or commissioner in resolving the disputed facts in making a final decision on the matter.</w:t>
      </w:r>
    </w:p>
    <w:p w:rsidR="00982666" w:rsidRPr="001F123C" w:rsidRDefault="00982666" w:rsidP="00172DB8">
      <w:pPr>
        <w:tabs>
          <w:tab w:val="left" w:pos="725"/>
          <w:tab w:val="left" w:pos="1088"/>
        </w:tabs>
        <w:autoSpaceDE w:val="0"/>
        <w:autoSpaceDN w:val="0"/>
        <w:adjustRightInd w:val="0"/>
        <w:spacing w:line="240" w:lineRule="auto"/>
        <w:ind w:left="720"/>
        <w:rPr>
          <w:rFonts w:eastAsia="Times New Roman" w:cs="Times New Roman"/>
        </w:rPr>
      </w:pPr>
    </w:p>
    <w:p w:rsidR="00982666" w:rsidRPr="001F123C" w:rsidRDefault="00493B3F" w:rsidP="00172DB8">
      <w:pPr>
        <w:numPr>
          <w:ilvl w:val="0"/>
          <w:numId w:val="1"/>
        </w:numPr>
        <w:autoSpaceDE w:val="0"/>
        <w:autoSpaceDN w:val="0"/>
        <w:adjustRightInd w:val="0"/>
        <w:spacing w:line="240" w:lineRule="auto"/>
        <w:ind w:left="720" w:hanging="360"/>
        <w:contextualSpacing/>
        <w:rPr>
          <w:rFonts w:eastAsia="Times New Roman" w:cs="Times New Roman"/>
        </w:rPr>
      </w:pPr>
      <w:proofErr w:type="gramStart"/>
      <w:r>
        <w:rPr>
          <w:rFonts w:eastAsia="Times New Roman" w:cs="Times New Roman"/>
        </w:rPr>
        <w:t>T</w:t>
      </w:r>
      <w:r w:rsidR="00982666" w:rsidRPr="001F123C">
        <w:rPr>
          <w:rFonts w:eastAsia="Times New Roman" w:cs="Times New Roman"/>
        </w:rPr>
        <w:t xml:space="preserve">o satisfy the first requirement, Minn. R. 7000.1900, </w:t>
      </w:r>
      <w:proofErr w:type="spellStart"/>
      <w:r w:rsidR="00982666" w:rsidRPr="001F123C">
        <w:rPr>
          <w:rFonts w:eastAsia="Times New Roman" w:cs="Times New Roman"/>
        </w:rPr>
        <w:t>subp</w:t>
      </w:r>
      <w:proofErr w:type="spellEnd"/>
      <w:r w:rsidR="00982666" w:rsidRPr="001F123C">
        <w:rPr>
          <w:rFonts w:eastAsia="Times New Roman" w:cs="Times New Roman"/>
        </w:rPr>
        <w:t>.</w:t>
      </w:r>
      <w:proofErr w:type="gramEnd"/>
      <w:r w:rsidR="00982666" w:rsidRPr="001F123C">
        <w:rPr>
          <w:rFonts w:eastAsia="Times New Roman" w:cs="Times New Roman"/>
        </w:rPr>
        <w:t xml:space="preserve"> 1(A), the hearing requester must show there is a material issue of fact in dispute as opposed to a disputed issue of law or policy. A fact is material if its resolution will affect the outcome of a case. </w:t>
      </w:r>
      <w:proofErr w:type="gramStart"/>
      <w:r w:rsidR="00982666" w:rsidRPr="001F123C">
        <w:rPr>
          <w:rFonts w:eastAsia="Times New Roman" w:cs="Times New Roman"/>
          <w:i/>
        </w:rPr>
        <w:t>O’</w:t>
      </w:r>
      <w:r w:rsidR="00982666" w:rsidRPr="001F123C">
        <w:rPr>
          <w:rFonts w:eastAsia="Times New Roman" w:cs="Times New Roman"/>
          <w:i/>
          <w:iCs/>
        </w:rPr>
        <w:t xml:space="preserve">Malley v. </w:t>
      </w:r>
      <w:proofErr w:type="spellStart"/>
      <w:r w:rsidR="00982666" w:rsidRPr="001F123C">
        <w:rPr>
          <w:rFonts w:eastAsia="Times New Roman" w:cs="Times New Roman"/>
          <w:i/>
          <w:iCs/>
        </w:rPr>
        <w:t>Ulland</w:t>
      </w:r>
      <w:proofErr w:type="spellEnd"/>
      <w:r w:rsidR="00982666" w:rsidRPr="001F123C">
        <w:rPr>
          <w:rFonts w:eastAsia="Times New Roman" w:cs="Times New Roman"/>
          <w:i/>
          <w:iCs/>
        </w:rPr>
        <w:t xml:space="preserve"> Brothers, </w:t>
      </w:r>
      <w:r w:rsidR="00982666" w:rsidRPr="001F123C">
        <w:rPr>
          <w:rFonts w:eastAsia="Times New Roman" w:cs="Times New Roman"/>
        </w:rPr>
        <w:t>540 N.W.2d 889, 892 (Minn. 1996).</w:t>
      </w:r>
      <w:proofErr w:type="gramEnd"/>
      <w:r w:rsidR="00792D23" w:rsidRPr="001F123C">
        <w:t xml:space="preserve"> </w:t>
      </w:r>
    </w:p>
    <w:p w:rsidR="00982666" w:rsidRPr="001F123C" w:rsidRDefault="00982666" w:rsidP="00172DB8">
      <w:pPr>
        <w:tabs>
          <w:tab w:val="left" w:pos="385"/>
        </w:tabs>
        <w:autoSpaceDE w:val="0"/>
        <w:autoSpaceDN w:val="0"/>
        <w:adjustRightInd w:val="0"/>
        <w:spacing w:line="240" w:lineRule="auto"/>
        <w:ind w:left="720" w:hanging="360"/>
        <w:rPr>
          <w:rFonts w:eastAsia="Times New Roman" w:cs="Times New Roman"/>
        </w:rPr>
      </w:pPr>
    </w:p>
    <w:p w:rsidR="00982666" w:rsidRPr="001F123C" w:rsidRDefault="00982666" w:rsidP="00172DB8">
      <w:pPr>
        <w:numPr>
          <w:ilvl w:val="0"/>
          <w:numId w:val="1"/>
        </w:numPr>
        <w:autoSpaceDE w:val="0"/>
        <w:autoSpaceDN w:val="0"/>
        <w:adjustRightInd w:val="0"/>
        <w:spacing w:line="240" w:lineRule="auto"/>
        <w:ind w:left="720" w:hanging="360"/>
        <w:contextualSpacing/>
        <w:rPr>
          <w:rFonts w:eastAsia="Times New Roman" w:cs="Times New Roman"/>
        </w:rPr>
      </w:pPr>
      <w:proofErr w:type="gramStart"/>
      <w:r w:rsidRPr="001F123C">
        <w:rPr>
          <w:rFonts w:eastAsia="Times New Roman" w:cs="Times New Roman"/>
        </w:rPr>
        <w:t xml:space="preserve">In order to satisfy the second requirement, Minn. R. 7000.1900, </w:t>
      </w:r>
      <w:proofErr w:type="spellStart"/>
      <w:r w:rsidRPr="001F123C">
        <w:rPr>
          <w:rFonts w:eastAsia="Times New Roman" w:cs="Times New Roman"/>
        </w:rPr>
        <w:t>subp</w:t>
      </w:r>
      <w:proofErr w:type="spellEnd"/>
      <w:r w:rsidRPr="001F123C">
        <w:rPr>
          <w:rFonts w:eastAsia="Times New Roman" w:cs="Times New Roman"/>
        </w:rPr>
        <w:t>.</w:t>
      </w:r>
      <w:proofErr w:type="gramEnd"/>
      <w:r w:rsidRPr="001F123C">
        <w:rPr>
          <w:rFonts w:eastAsia="Times New Roman" w:cs="Times New Roman"/>
        </w:rPr>
        <w:t xml:space="preserve"> 1(B), the petitioner(s) must show that the MPCA has jurisdiction or authority to make a determination on the disputed issues of material fact. “Agencies are not permitted to act outside the jurisdictional boundaries of their enabling act.” </w:t>
      </w:r>
      <w:proofErr w:type="gramStart"/>
      <w:r w:rsidRPr="001F123C">
        <w:rPr>
          <w:rFonts w:eastAsia="Times New Roman" w:cs="Times New Roman"/>
          <w:i/>
          <w:iCs/>
        </w:rPr>
        <w:t xml:space="preserve">Cable Communications Board v. Nor-West Cable, </w:t>
      </w:r>
      <w:r w:rsidRPr="001F123C">
        <w:rPr>
          <w:rFonts w:eastAsia="Times New Roman" w:cs="Times New Roman"/>
        </w:rPr>
        <w:t>356 N.W.2d 658, 668 (Mum. 1984).</w:t>
      </w:r>
      <w:proofErr w:type="gramEnd"/>
      <w:r w:rsidRPr="001F123C">
        <w:rPr>
          <w:rFonts w:eastAsia="Times New Roman" w:cs="Times New Roman"/>
        </w:rPr>
        <w:t xml:space="preserve"> Therefore, each issue in the contested case request has to be such that it is within the MPCA’s authority to resolve.</w:t>
      </w:r>
    </w:p>
    <w:p w:rsidR="00982666" w:rsidRPr="001F123C" w:rsidRDefault="00982666" w:rsidP="00172DB8">
      <w:pPr>
        <w:tabs>
          <w:tab w:val="left" w:pos="5890"/>
        </w:tabs>
        <w:autoSpaceDE w:val="0"/>
        <w:autoSpaceDN w:val="0"/>
        <w:adjustRightInd w:val="0"/>
        <w:spacing w:line="240" w:lineRule="auto"/>
        <w:ind w:left="720" w:hanging="360"/>
        <w:rPr>
          <w:rFonts w:eastAsia="Times New Roman" w:cs="Times New Roman"/>
        </w:rPr>
      </w:pPr>
    </w:p>
    <w:p w:rsidR="00982666" w:rsidRPr="001F123C" w:rsidRDefault="00982666" w:rsidP="00172DB8">
      <w:pPr>
        <w:numPr>
          <w:ilvl w:val="0"/>
          <w:numId w:val="1"/>
        </w:numPr>
        <w:autoSpaceDE w:val="0"/>
        <w:autoSpaceDN w:val="0"/>
        <w:adjustRightInd w:val="0"/>
        <w:spacing w:line="240" w:lineRule="auto"/>
        <w:ind w:left="720" w:hanging="360"/>
        <w:contextualSpacing/>
        <w:rPr>
          <w:rFonts w:eastAsia="Times New Roman" w:cs="Times New Roman"/>
        </w:rPr>
      </w:pPr>
      <w:proofErr w:type="gramStart"/>
      <w:r w:rsidRPr="001F123C">
        <w:rPr>
          <w:rFonts w:eastAsia="Times New Roman" w:cs="Times New Roman"/>
        </w:rPr>
        <w:t xml:space="preserve">Finally, under Minn. R. 7000.1900, </w:t>
      </w:r>
      <w:proofErr w:type="spellStart"/>
      <w:r w:rsidRPr="001F123C">
        <w:rPr>
          <w:rFonts w:eastAsia="Times New Roman" w:cs="Times New Roman"/>
        </w:rPr>
        <w:t>subp</w:t>
      </w:r>
      <w:proofErr w:type="spellEnd"/>
      <w:r w:rsidRPr="001F123C">
        <w:rPr>
          <w:rFonts w:eastAsia="Times New Roman" w:cs="Times New Roman"/>
        </w:rPr>
        <w:t>.</w:t>
      </w:r>
      <w:proofErr w:type="gramEnd"/>
      <w:r w:rsidRPr="001F123C">
        <w:rPr>
          <w:rFonts w:eastAsia="Times New Roman" w:cs="Times New Roman"/>
        </w:rPr>
        <w:t xml:space="preserve"> 1(C), the petitioner(s) has the burden of demonstrating there is a reasonable basis underlying the disputed material issue of fact or facts such that the holding of a contested case hearing would allow the introduction of information that would aid the MPCA in making a final decision on the matter. </w:t>
      </w:r>
      <w:proofErr w:type="gramStart"/>
      <w:r w:rsidRPr="001F123C">
        <w:rPr>
          <w:rFonts w:eastAsia="Times New Roman" w:cs="Times New Roman"/>
          <w:i/>
          <w:iCs/>
        </w:rPr>
        <w:t xml:space="preserve">In the Matter of Solid Waste Permit for the </w:t>
      </w:r>
      <w:r w:rsidRPr="001F123C">
        <w:rPr>
          <w:rFonts w:eastAsia="Times New Roman" w:cs="Times New Roman"/>
          <w:i/>
          <w:iCs/>
        </w:rPr>
        <w:lastRenderedPageBreak/>
        <w:t xml:space="preserve">NSP Red Wing Ash Disposal Facility, </w:t>
      </w:r>
      <w:r w:rsidRPr="001F123C">
        <w:rPr>
          <w:rFonts w:eastAsia="Times New Roman" w:cs="Times New Roman"/>
        </w:rPr>
        <w:t>421 N.W.2d 398, 404 (Minn. App. 1988).</w:t>
      </w:r>
      <w:proofErr w:type="gramEnd"/>
      <w:r w:rsidRPr="001F123C">
        <w:rPr>
          <w:rFonts w:eastAsia="Times New Roman" w:cs="Times New Roman"/>
        </w:rPr>
        <w:t xml:space="preserve"> To do so, the petitioner(s) may provide the MPCA with specific expert’s names, and with any indication of what specific </w:t>
      </w:r>
      <w:r w:rsidRPr="001F123C">
        <w:rPr>
          <w:rFonts w:eastAsia="Times New Roman" w:cs="Times New Roman"/>
          <w:i/>
          <w:iCs/>
        </w:rPr>
        <w:t xml:space="preserve">new facts </w:t>
      </w:r>
      <w:r w:rsidRPr="001F123C">
        <w:rPr>
          <w:rFonts w:eastAsia="Times New Roman" w:cs="Times New Roman"/>
        </w:rPr>
        <w:t>an expert might testify to at a contested case hearing. The Minnesota Supreme Court has recognized that to meet this test, “it is simply not enough to raise questions or pose alternatives without some showing that evidence can be produced which is contrary to the action proposed by the MPCA</w:t>
      </w:r>
      <w:r w:rsidR="00153621">
        <w:rPr>
          <w:rFonts w:eastAsia="Times New Roman" w:cs="Times New Roman"/>
        </w:rPr>
        <w:t>.</w:t>
      </w:r>
      <w:proofErr w:type="gramStart"/>
      <w:r w:rsidRPr="001F123C">
        <w:rPr>
          <w:rFonts w:eastAsia="Times New Roman" w:cs="Times New Roman"/>
        </w:rPr>
        <w:t xml:space="preserve">”  </w:t>
      </w:r>
      <w:proofErr w:type="gramEnd"/>
      <w:r w:rsidRPr="001F123C">
        <w:rPr>
          <w:rFonts w:eastAsia="Times New Roman" w:cs="Times New Roman"/>
          <w:i/>
        </w:rPr>
        <w:t>See</w:t>
      </w:r>
      <w:r w:rsidRPr="001F123C">
        <w:rPr>
          <w:rFonts w:eastAsia="Times New Roman" w:cs="Times New Roman"/>
        </w:rPr>
        <w:t xml:space="preserve"> </w:t>
      </w:r>
      <w:r w:rsidRPr="001F123C">
        <w:rPr>
          <w:rFonts w:eastAsia="Times New Roman" w:cs="Times New Roman"/>
          <w:i/>
        </w:rPr>
        <w:t>In the Matter of Amendment No. 4 to Air Emission Facility Permit,</w:t>
      </w:r>
      <w:r w:rsidRPr="001F123C">
        <w:rPr>
          <w:rFonts w:eastAsia="Times New Roman" w:cs="Times New Roman"/>
        </w:rPr>
        <w:t xml:space="preserve"> </w:t>
      </w:r>
      <w:proofErr w:type="gramStart"/>
      <w:r w:rsidRPr="001F123C">
        <w:rPr>
          <w:rFonts w:eastAsia="Times New Roman" w:cs="Times New Roman"/>
        </w:rPr>
        <w:t>454 N.W.2d 427,</w:t>
      </w:r>
      <w:proofErr w:type="gramEnd"/>
      <w:r w:rsidRPr="001F123C">
        <w:rPr>
          <w:rFonts w:eastAsia="Times New Roman" w:cs="Times New Roman"/>
        </w:rPr>
        <w:t xml:space="preserve"> 430 (Minn. 1990).</w:t>
      </w:r>
    </w:p>
    <w:p w:rsidR="00982666" w:rsidRPr="001F123C" w:rsidRDefault="00982666" w:rsidP="00172DB8">
      <w:pPr>
        <w:autoSpaceDE w:val="0"/>
        <w:autoSpaceDN w:val="0"/>
        <w:adjustRightInd w:val="0"/>
        <w:spacing w:line="240" w:lineRule="auto"/>
        <w:ind w:left="720" w:hanging="360"/>
        <w:rPr>
          <w:rFonts w:eastAsia="Times New Roman" w:cs="Times New Roman"/>
        </w:rPr>
      </w:pPr>
    </w:p>
    <w:p w:rsidR="00982666" w:rsidRPr="001F123C" w:rsidRDefault="00982666" w:rsidP="00172DB8">
      <w:pPr>
        <w:numPr>
          <w:ilvl w:val="0"/>
          <w:numId w:val="1"/>
        </w:numPr>
        <w:autoSpaceDE w:val="0"/>
        <w:autoSpaceDN w:val="0"/>
        <w:adjustRightInd w:val="0"/>
        <w:spacing w:line="240" w:lineRule="auto"/>
        <w:ind w:left="720" w:hanging="360"/>
        <w:contextualSpacing/>
        <w:rPr>
          <w:rFonts w:eastAsia="Times New Roman" w:cs="Times New Roman"/>
        </w:rPr>
      </w:pPr>
      <w:proofErr w:type="gramStart"/>
      <w:r w:rsidRPr="001F123C">
        <w:rPr>
          <w:rFonts w:eastAsia="Times New Roman" w:cs="Times New Roman"/>
        </w:rPr>
        <w:t xml:space="preserve">All three criteria of Minn. R. 7000.1900, </w:t>
      </w:r>
      <w:proofErr w:type="spellStart"/>
      <w:r w:rsidRPr="001F123C">
        <w:rPr>
          <w:rFonts w:eastAsia="Times New Roman" w:cs="Times New Roman"/>
        </w:rPr>
        <w:t>subp</w:t>
      </w:r>
      <w:proofErr w:type="spellEnd"/>
      <w:r w:rsidRPr="001F123C">
        <w:rPr>
          <w:rFonts w:eastAsia="Times New Roman" w:cs="Times New Roman"/>
        </w:rPr>
        <w:t>.</w:t>
      </w:r>
      <w:proofErr w:type="gramEnd"/>
      <w:r w:rsidRPr="001F123C">
        <w:rPr>
          <w:rFonts w:eastAsia="Times New Roman" w:cs="Times New Roman"/>
        </w:rPr>
        <w:t xml:space="preserve"> </w:t>
      </w:r>
      <w:proofErr w:type="gramStart"/>
      <w:r w:rsidRPr="001F123C">
        <w:rPr>
          <w:rFonts w:eastAsia="Times New Roman" w:cs="Times New Roman"/>
        </w:rPr>
        <w:t>1</w:t>
      </w:r>
      <w:proofErr w:type="gramEnd"/>
      <w:r w:rsidRPr="001F123C">
        <w:rPr>
          <w:rFonts w:eastAsia="Times New Roman" w:cs="Times New Roman"/>
        </w:rPr>
        <w:t xml:space="preserve"> must be satisfied for the MPCA to grant a petition for a contested case hearing.</w:t>
      </w:r>
    </w:p>
    <w:p w:rsidR="00982666" w:rsidRDefault="00982666" w:rsidP="00172DB8">
      <w:pPr>
        <w:tabs>
          <w:tab w:val="left" w:pos="385"/>
        </w:tabs>
        <w:autoSpaceDE w:val="0"/>
        <w:autoSpaceDN w:val="0"/>
        <w:adjustRightInd w:val="0"/>
        <w:spacing w:line="240" w:lineRule="auto"/>
        <w:rPr>
          <w:rFonts w:eastAsia="Times New Roman" w:cs="Times New Roman"/>
        </w:rPr>
      </w:pPr>
    </w:p>
    <w:p w:rsidR="001C7656" w:rsidRPr="001F123C" w:rsidRDefault="001C7656" w:rsidP="00172DB8">
      <w:pPr>
        <w:tabs>
          <w:tab w:val="left" w:pos="385"/>
        </w:tabs>
        <w:autoSpaceDE w:val="0"/>
        <w:autoSpaceDN w:val="0"/>
        <w:adjustRightInd w:val="0"/>
        <w:spacing w:line="240" w:lineRule="auto"/>
        <w:rPr>
          <w:rFonts w:eastAsia="Times New Roman" w:cs="Times New Roman"/>
        </w:rPr>
      </w:pPr>
    </w:p>
    <w:p w:rsidR="00982666" w:rsidRPr="001F123C" w:rsidRDefault="00982666" w:rsidP="00172DB8">
      <w:pPr>
        <w:numPr>
          <w:ilvl w:val="0"/>
          <w:numId w:val="6"/>
        </w:numPr>
        <w:autoSpaceDE w:val="0"/>
        <w:autoSpaceDN w:val="0"/>
        <w:adjustRightInd w:val="0"/>
        <w:spacing w:line="240" w:lineRule="auto"/>
        <w:contextualSpacing/>
        <w:rPr>
          <w:rFonts w:eastAsia="Times New Roman" w:cs="Times New Roman"/>
          <w:b/>
          <w:bCs/>
          <w:i/>
          <w:iCs/>
        </w:rPr>
      </w:pPr>
      <w:r w:rsidRPr="001F123C">
        <w:rPr>
          <w:rFonts w:eastAsia="Times New Roman" w:cs="Times New Roman"/>
          <w:b/>
          <w:bCs/>
          <w:i/>
          <w:iCs/>
        </w:rPr>
        <w:t xml:space="preserve">Evaluation of </w:t>
      </w:r>
      <w:r w:rsidR="00792D23" w:rsidRPr="001F123C">
        <w:rPr>
          <w:rFonts w:eastAsia="Times New Roman" w:cs="Times New Roman"/>
          <w:b/>
          <w:bCs/>
          <w:i/>
          <w:iCs/>
        </w:rPr>
        <w:t xml:space="preserve">Contents of </w:t>
      </w:r>
      <w:r w:rsidRPr="001F123C">
        <w:rPr>
          <w:rFonts w:eastAsia="Times New Roman" w:cs="Times New Roman"/>
          <w:b/>
          <w:bCs/>
          <w:i/>
          <w:iCs/>
        </w:rPr>
        <w:t xml:space="preserve">Petitions for Contested Case Hearing </w:t>
      </w:r>
      <w:r w:rsidR="006703F6" w:rsidRPr="001F123C">
        <w:rPr>
          <w:rFonts w:eastAsia="Times New Roman" w:cs="Times New Roman"/>
          <w:b/>
          <w:bCs/>
          <w:i/>
          <w:iCs/>
        </w:rPr>
        <w:t xml:space="preserve">Against Criteria </w:t>
      </w:r>
    </w:p>
    <w:p w:rsidR="00982666" w:rsidRPr="001F123C" w:rsidRDefault="00982666" w:rsidP="00172DB8">
      <w:pPr>
        <w:tabs>
          <w:tab w:val="left" w:pos="357"/>
        </w:tabs>
        <w:autoSpaceDE w:val="0"/>
        <w:autoSpaceDN w:val="0"/>
        <w:adjustRightInd w:val="0"/>
        <w:spacing w:line="240" w:lineRule="auto"/>
        <w:rPr>
          <w:rFonts w:eastAsia="Times New Roman" w:cs="Times New Roman"/>
          <w:b/>
          <w:bCs/>
          <w:i/>
          <w:iCs/>
        </w:rPr>
      </w:pPr>
    </w:p>
    <w:p w:rsidR="00204FD1" w:rsidRPr="001F123C" w:rsidRDefault="00A00DAE" w:rsidP="00172DB8">
      <w:pPr>
        <w:numPr>
          <w:ilvl w:val="0"/>
          <w:numId w:val="1"/>
        </w:numPr>
        <w:autoSpaceDE w:val="0"/>
        <w:autoSpaceDN w:val="0"/>
        <w:adjustRightInd w:val="0"/>
        <w:spacing w:line="240" w:lineRule="auto"/>
        <w:ind w:left="720" w:hanging="360"/>
        <w:contextualSpacing/>
        <w:rPr>
          <w:rFonts w:eastAsia="Times New Roman" w:cs="Times New Roman"/>
        </w:rPr>
      </w:pPr>
      <w:r>
        <w:rPr>
          <w:rFonts w:eastAsia="Times New Roman" w:cs="Times New Roman"/>
        </w:rPr>
        <w:t>The</w:t>
      </w:r>
      <w:r w:rsidR="000B4F8F" w:rsidRPr="001F123C">
        <w:rPr>
          <w:rFonts w:eastAsia="Times New Roman" w:cs="Times New Roman"/>
        </w:rPr>
        <w:t xml:space="preserve"> CCH </w:t>
      </w:r>
      <w:r w:rsidR="00204FD1" w:rsidRPr="001F123C">
        <w:rPr>
          <w:rFonts w:eastAsia="Times New Roman" w:cs="Times New Roman"/>
        </w:rPr>
        <w:t xml:space="preserve">A and </w:t>
      </w:r>
      <w:r w:rsidR="001D3879">
        <w:rPr>
          <w:rFonts w:eastAsia="Times New Roman" w:cs="Times New Roman"/>
        </w:rPr>
        <w:t xml:space="preserve">CCH </w:t>
      </w:r>
      <w:r w:rsidR="00204FD1" w:rsidRPr="001F123C">
        <w:rPr>
          <w:rFonts w:eastAsia="Times New Roman" w:cs="Times New Roman"/>
        </w:rPr>
        <w:t xml:space="preserve">B </w:t>
      </w:r>
      <w:r w:rsidR="000B4F8F" w:rsidRPr="001F123C">
        <w:rPr>
          <w:rFonts w:eastAsia="Times New Roman" w:cs="Times New Roman"/>
        </w:rPr>
        <w:t>petitions</w:t>
      </w:r>
      <w:r w:rsidR="00E238F8" w:rsidRPr="001F123C">
        <w:rPr>
          <w:rFonts w:eastAsia="Times New Roman" w:cs="Times New Roman"/>
        </w:rPr>
        <w:t xml:space="preserve"> </w:t>
      </w:r>
      <w:r w:rsidR="00982666" w:rsidRPr="001F123C">
        <w:rPr>
          <w:rFonts w:eastAsia="Times New Roman" w:cs="Times New Roman"/>
        </w:rPr>
        <w:t xml:space="preserve">contained identical language </w:t>
      </w:r>
      <w:r w:rsidR="00204FD1" w:rsidRPr="001F123C">
        <w:rPr>
          <w:rFonts w:eastAsia="Times New Roman" w:cs="Times New Roman"/>
        </w:rPr>
        <w:t xml:space="preserve">identifying </w:t>
      </w:r>
      <w:r w:rsidR="0026001F" w:rsidRPr="001F123C">
        <w:rPr>
          <w:rFonts w:eastAsia="Times New Roman" w:cs="Times New Roman"/>
        </w:rPr>
        <w:t>i</w:t>
      </w:r>
      <w:r w:rsidR="00982666" w:rsidRPr="001F123C">
        <w:rPr>
          <w:rFonts w:eastAsia="Times New Roman" w:cs="Times New Roman"/>
        </w:rPr>
        <w:t xml:space="preserve">ssues to </w:t>
      </w:r>
      <w:proofErr w:type="gramStart"/>
      <w:r w:rsidR="00982666" w:rsidRPr="001F123C">
        <w:rPr>
          <w:rFonts w:eastAsia="Times New Roman" w:cs="Times New Roman"/>
        </w:rPr>
        <w:t xml:space="preserve">be </w:t>
      </w:r>
      <w:r w:rsidR="003D249E">
        <w:rPr>
          <w:rFonts w:eastAsia="Times New Roman" w:cs="Times New Roman"/>
        </w:rPr>
        <w:t>a</w:t>
      </w:r>
      <w:r w:rsidR="00982666" w:rsidRPr="001F123C">
        <w:rPr>
          <w:rFonts w:eastAsia="Times New Roman" w:cs="Times New Roman"/>
        </w:rPr>
        <w:t>ddressed</w:t>
      </w:r>
      <w:proofErr w:type="gramEnd"/>
      <w:r w:rsidR="00982666" w:rsidRPr="001F123C">
        <w:rPr>
          <w:rFonts w:eastAsia="Times New Roman" w:cs="Times New Roman"/>
        </w:rPr>
        <w:t xml:space="preserve"> by </w:t>
      </w:r>
      <w:r w:rsidR="003D249E">
        <w:rPr>
          <w:rFonts w:eastAsia="Times New Roman" w:cs="Times New Roman"/>
        </w:rPr>
        <w:t xml:space="preserve">a </w:t>
      </w:r>
      <w:r w:rsidR="00982666" w:rsidRPr="001F123C">
        <w:rPr>
          <w:rFonts w:eastAsia="Times New Roman" w:cs="Times New Roman"/>
        </w:rPr>
        <w:t>contested case hearing</w:t>
      </w:r>
      <w:r w:rsidR="003D249E">
        <w:rPr>
          <w:rFonts w:eastAsia="Times New Roman" w:cs="Times New Roman"/>
        </w:rPr>
        <w:t>. The issues identified</w:t>
      </w:r>
      <w:r w:rsidR="00204FD1" w:rsidRPr="001F123C">
        <w:rPr>
          <w:rFonts w:eastAsia="Times New Roman" w:cs="Times New Roman"/>
        </w:rPr>
        <w:t xml:space="preserve"> relate to the topics of: (1) natural background in load allocations</w:t>
      </w:r>
      <w:proofErr w:type="gramStart"/>
      <w:r w:rsidR="00204FD1" w:rsidRPr="001F123C">
        <w:rPr>
          <w:rFonts w:eastAsia="Times New Roman" w:cs="Times New Roman"/>
        </w:rPr>
        <w:t>;</w:t>
      </w:r>
      <w:proofErr w:type="gramEnd"/>
      <w:r w:rsidR="00204FD1" w:rsidRPr="001F123C">
        <w:rPr>
          <w:rFonts w:eastAsia="Times New Roman" w:cs="Times New Roman"/>
        </w:rPr>
        <w:t xml:space="preserve"> and (2) the effect of reducing nitrate loading on bio-accumulative toxin methyl-mercury and for </w:t>
      </w:r>
      <w:r w:rsidR="00A41049">
        <w:rPr>
          <w:rFonts w:eastAsia="Times New Roman" w:cs="Times New Roman"/>
        </w:rPr>
        <w:t>blue-green</w:t>
      </w:r>
      <w:r w:rsidR="00204FD1" w:rsidRPr="001F123C">
        <w:rPr>
          <w:rFonts w:eastAsia="Times New Roman" w:cs="Times New Roman"/>
        </w:rPr>
        <w:t xml:space="preserve"> algae.</w:t>
      </w:r>
    </w:p>
    <w:p w:rsidR="00204FD1" w:rsidRPr="001F123C" w:rsidRDefault="00204FD1" w:rsidP="00172DB8">
      <w:pPr>
        <w:autoSpaceDE w:val="0"/>
        <w:autoSpaceDN w:val="0"/>
        <w:adjustRightInd w:val="0"/>
        <w:spacing w:line="240" w:lineRule="auto"/>
        <w:ind w:left="720" w:hanging="360"/>
        <w:contextualSpacing/>
        <w:rPr>
          <w:rFonts w:eastAsia="Times New Roman" w:cs="Times New Roman"/>
        </w:rPr>
      </w:pPr>
    </w:p>
    <w:p w:rsidR="00982666" w:rsidRPr="001F123C" w:rsidRDefault="004C1BCD" w:rsidP="00172DB8">
      <w:pPr>
        <w:numPr>
          <w:ilvl w:val="0"/>
          <w:numId w:val="1"/>
        </w:numPr>
        <w:autoSpaceDE w:val="0"/>
        <w:autoSpaceDN w:val="0"/>
        <w:adjustRightInd w:val="0"/>
        <w:spacing w:line="240" w:lineRule="auto"/>
        <w:ind w:left="720" w:hanging="360"/>
        <w:contextualSpacing/>
        <w:rPr>
          <w:rFonts w:eastAsia="Times New Roman" w:cs="Times New Roman"/>
        </w:rPr>
      </w:pPr>
      <w:r w:rsidRPr="001F123C">
        <w:rPr>
          <w:rFonts w:eastAsia="Times New Roman" w:cs="Times New Roman"/>
        </w:rPr>
        <w:t>CCH</w:t>
      </w:r>
      <w:r w:rsidR="00A21955">
        <w:rPr>
          <w:rFonts w:eastAsia="Times New Roman" w:cs="Times New Roman"/>
        </w:rPr>
        <w:t xml:space="preserve"> </w:t>
      </w:r>
      <w:r w:rsidRPr="001F123C">
        <w:rPr>
          <w:rFonts w:eastAsia="Times New Roman" w:cs="Times New Roman"/>
        </w:rPr>
        <w:t xml:space="preserve">B </w:t>
      </w:r>
      <w:r w:rsidR="00204FD1" w:rsidRPr="001F123C">
        <w:rPr>
          <w:rFonts w:eastAsia="Times New Roman" w:cs="Times New Roman"/>
        </w:rPr>
        <w:t xml:space="preserve">identifies an </w:t>
      </w:r>
      <w:r w:rsidR="00584C14" w:rsidRPr="001F123C">
        <w:rPr>
          <w:rFonts w:eastAsia="Times New Roman" w:cs="Times New Roman"/>
        </w:rPr>
        <w:t>additional matter of concern</w:t>
      </w:r>
      <w:r w:rsidR="00204FD1" w:rsidRPr="001F123C">
        <w:rPr>
          <w:rFonts w:eastAsia="Times New Roman" w:cs="Times New Roman"/>
        </w:rPr>
        <w:t xml:space="preserve"> related to </w:t>
      </w:r>
      <w:r w:rsidR="00A00DAE">
        <w:rPr>
          <w:rFonts w:eastAsia="Times New Roman" w:cs="Times New Roman"/>
        </w:rPr>
        <w:t xml:space="preserve">the </w:t>
      </w:r>
      <w:r w:rsidR="00D3691E" w:rsidRPr="001F123C">
        <w:rPr>
          <w:rFonts w:eastAsia="Times New Roman" w:cs="Times New Roman"/>
        </w:rPr>
        <w:t>classification of Little Rock Creek and Bunker Hill Creek as trout streams.</w:t>
      </w:r>
    </w:p>
    <w:p w:rsidR="00982666" w:rsidRPr="001F123C" w:rsidRDefault="00982666" w:rsidP="00172DB8">
      <w:pPr>
        <w:tabs>
          <w:tab w:val="left" w:pos="1088"/>
        </w:tabs>
        <w:autoSpaceDE w:val="0"/>
        <w:autoSpaceDN w:val="0"/>
        <w:adjustRightInd w:val="0"/>
        <w:spacing w:line="240" w:lineRule="auto"/>
        <w:ind w:left="720" w:hanging="360"/>
        <w:rPr>
          <w:rFonts w:eastAsia="Times New Roman" w:cs="Times New Roman"/>
        </w:rPr>
      </w:pPr>
    </w:p>
    <w:p w:rsidR="00E0264C" w:rsidRPr="001F123C" w:rsidRDefault="00E0264C" w:rsidP="00172DB8">
      <w:pPr>
        <w:pStyle w:val="ListParagraph"/>
        <w:numPr>
          <w:ilvl w:val="0"/>
          <w:numId w:val="1"/>
        </w:numPr>
        <w:spacing w:line="240" w:lineRule="auto"/>
        <w:ind w:left="720" w:hanging="360"/>
      </w:pPr>
      <w:r w:rsidRPr="001F123C">
        <w:t xml:space="preserve">The MPCA evaluated the CCH A and </w:t>
      </w:r>
      <w:r w:rsidR="001D3879">
        <w:t xml:space="preserve">CCH </w:t>
      </w:r>
      <w:r w:rsidRPr="001F123C">
        <w:t>B petitions to determine if they m</w:t>
      </w:r>
      <w:r w:rsidR="007713A8">
        <w:t>e</w:t>
      </w:r>
      <w:r w:rsidRPr="001F123C">
        <w:t xml:space="preserve">et the </w:t>
      </w:r>
      <w:r w:rsidR="000D4D5B">
        <w:t xml:space="preserve">threshold </w:t>
      </w:r>
      <w:r w:rsidRPr="001F123C">
        <w:t xml:space="preserve">requirements </w:t>
      </w:r>
      <w:r w:rsidR="000D4D5B">
        <w:t xml:space="preserve">for petition content </w:t>
      </w:r>
      <w:r w:rsidRPr="001F123C">
        <w:t xml:space="preserve">of Minn. R. 7000.1800, </w:t>
      </w:r>
      <w:proofErr w:type="spellStart"/>
      <w:r w:rsidRPr="001F123C">
        <w:t>subp</w:t>
      </w:r>
      <w:proofErr w:type="spellEnd"/>
      <w:r w:rsidRPr="001F123C">
        <w:t>. 2</w:t>
      </w:r>
      <w:proofErr w:type="gramStart"/>
      <w:r w:rsidR="0005023C">
        <w:t>(</w:t>
      </w:r>
      <w:r w:rsidRPr="001F123C">
        <w:t xml:space="preserve"> A</w:t>
      </w:r>
      <w:proofErr w:type="gramEnd"/>
      <w:r w:rsidR="0005023C">
        <w:t>)</w:t>
      </w:r>
      <w:r w:rsidR="00933B86">
        <w:t>.</w:t>
      </w:r>
      <w:r w:rsidRPr="001F123C">
        <w:t xml:space="preserve"> The MPCA finds that the petitions do meet the </w:t>
      </w:r>
      <w:r w:rsidR="000D4D5B">
        <w:t xml:space="preserve">threshold </w:t>
      </w:r>
      <w:r w:rsidR="00915CAD">
        <w:t xml:space="preserve">petition content </w:t>
      </w:r>
      <w:r w:rsidRPr="001F123C">
        <w:t xml:space="preserve">requirements by stating reasons to hold a contested case hearing and by stating issues to </w:t>
      </w:r>
      <w:proofErr w:type="gramStart"/>
      <w:r w:rsidRPr="001F123C">
        <w:t>be addressed</w:t>
      </w:r>
      <w:proofErr w:type="gramEnd"/>
      <w:r w:rsidR="005674C4">
        <w:t xml:space="preserve"> and specific relief requested</w:t>
      </w:r>
      <w:r w:rsidR="00AC33B3">
        <w:t>.</w:t>
      </w:r>
      <w:r w:rsidRPr="001F123C">
        <w:t xml:space="preserve"> </w:t>
      </w:r>
    </w:p>
    <w:p w:rsidR="00E0264C" w:rsidRPr="001F123C" w:rsidRDefault="00E0264C" w:rsidP="00172DB8">
      <w:pPr>
        <w:pStyle w:val="ListParagraph"/>
        <w:autoSpaceDE w:val="0"/>
        <w:autoSpaceDN w:val="0"/>
        <w:adjustRightInd w:val="0"/>
        <w:spacing w:line="240" w:lineRule="auto"/>
        <w:ind w:hanging="360"/>
        <w:contextualSpacing w:val="0"/>
      </w:pPr>
    </w:p>
    <w:p w:rsidR="00E0264C" w:rsidRPr="001F123C" w:rsidRDefault="00E0264C" w:rsidP="00172DB8">
      <w:pPr>
        <w:pStyle w:val="ListParagraph"/>
        <w:numPr>
          <w:ilvl w:val="0"/>
          <w:numId w:val="1"/>
        </w:numPr>
        <w:autoSpaceDE w:val="0"/>
        <w:autoSpaceDN w:val="0"/>
        <w:adjustRightInd w:val="0"/>
        <w:spacing w:line="240" w:lineRule="auto"/>
        <w:ind w:left="720" w:hanging="360"/>
        <w:contextualSpacing w:val="0"/>
      </w:pPr>
      <w:r w:rsidRPr="001F123C">
        <w:t xml:space="preserve">The MPCA </w:t>
      </w:r>
      <w:r w:rsidR="00A00DAE">
        <w:t xml:space="preserve">also </w:t>
      </w:r>
      <w:r w:rsidRPr="001F123C">
        <w:t xml:space="preserve">evaluated the </w:t>
      </w:r>
      <w:r w:rsidR="00A00DAE">
        <w:t xml:space="preserve">CCH A and CCH B </w:t>
      </w:r>
      <w:r w:rsidRPr="001F123C">
        <w:t xml:space="preserve">petitions to determine if the petitions meet the three required criteria for granting a request for a contested case hearing in Minn. R. 7000.1900, </w:t>
      </w:r>
      <w:proofErr w:type="spellStart"/>
      <w:r w:rsidRPr="001F123C">
        <w:t>subp</w:t>
      </w:r>
      <w:proofErr w:type="spellEnd"/>
      <w:r w:rsidRPr="001F123C">
        <w:t xml:space="preserve">. 1.  The petitions for a contested case hearing fail to satisfy the requirements of Minn. R. 7000.1900, subpart. </w:t>
      </w:r>
      <w:proofErr w:type="gramStart"/>
      <w:r w:rsidRPr="001F123C">
        <w:t>1</w:t>
      </w:r>
      <w:proofErr w:type="gramEnd"/>
      <w:r w:rsidRPr="001F123C">
        <w:t>, for the reasons stated in the following specific Findings.</w:t>
      </w:r>
    </w:p>
    <w:p w:rsidR="00E0264C" w:rsidRPr="001F123C" w:rsidRDefault="00E0264C" w:rsidP="00172DB8">
      <w:pPr>
        <w:pStyle w:val="ListParagraph"/>
        <w:spacing w:line="240" w:lineRule="auto"/>
        <w:rPr>
          <w:b/>
        </w:rPr>
      </w:pPr>
    </w:p>
    <w:p w:rsidR="006A211A" w:rsidRDefault="002A1A16" w:rsidP="00C85215">
      <w:pPr>
        <w:autoSpaceDE w:val="0"/>
        <w:autoSpaceDN w:val="0"/>
        <w:adjustRightInd w:val="0"/>
        <w:spacing w:line="240" w:lineRule="auto"/>
        <w:ind w:left="360"/>
        <w:rPr>
          <w:b/>
          <w:i/>
        </w:rPr>
      </w:pPr>
      <w:r>
        <w:rPr>
          <w:b/>
          <w:i/>
        </w:rPr>
        <w:t xml:space="preserve">Regarding </w:t>
      </w:r>
      <w:r w:rsidR="007E04A2">
        <w:rPr>
          <w:b/>
          <w:i/>
        </w:rPr>
        <w:t xml:space="preserve">the CCH A and CCH B </w:t>
      </w:r>
      <w:r>
        <w:rPr>
          <w:b/>
          <w:i/>
        </w:rPr>
        <w:t>petitions’ m</w:t>
      </w:r>
      <w:r w:rsidRPr="00E310D3">
        <w:rPr>
          <w:b/>
          <w:i/>
        </w:rPr>
        <w:t>atter of concern</w:t>
      </w:r>
      <w:r>
        <w:rPr>
          <w:b/>
          <w:i/>
        </w:rPr>
        <w:t xml:space="preserve"> related to natural background, t</w:t>
      </w:r>
      <w:r w:rsidR="006A211A" w:rsidRPr="006A211A">
        <w:rPr>
          <w:b/>
          <w:i/>
        </w:rPr>
        <w:t xml:space="preserve">he petitions fail criterion A of Minn. R. 7000.1900, </w:t>
      </w:r>
      <w:proofErr w:type="spellStart"/>
      <w:r w:rsidR="006A211A" w:rsidRPr="006A211A">
        <w:rPr>
          <w:b/>
          <w:i/>
        </w:rPr>
        <w:t>subp</w:t>
      </w:r>
      <w:proofErr w:type="spellEnd"/>
      <w:r w:rsidR="006A211A" w:rsidRPr="006A211A">
        <w:rPr>
          <w:b/>
          <w:i/>
        </w:rPr>
        <w:t>. 1, because they fail to state a disputed material issue of fact and instead dispute an issue of law or policy</w:t>
      </w:r>
    </w:p>
    <w:p w:rsidR="00E0264C" w:rsidRPr="00E310D3" w:rsidRDefault="00E0264C" w:rsidP="00172DB8">
      <w:pPr>
        <w:autoSpaceDE w:val="0"/>
        <w:autoSpaceDN w:val="0"/>
        <w:adjustRightInd w:val="0"/>
        <w:spacing w:line="240" w:lineRule="auto"/>
        <w:ind w:firstLine="360"/>
        <w:rPr>
          <w:b/>
          <w:i/>
        </w:rPr>
      </w:pPr>
    </w:p>
    <w:p w:rsidR="00E0264C" w:rsidRPr="001F123C" w:rsidRDefault="00E0264C" w:rsidP="00172DB8">
      <w:pPr>
        <w:pStyle w:val="ListParagraph"/>
        <w:numPr>
          <w:ilvl w:val="0"/>
          <w:numId w:val="1"/>
        </w:numPr>
        <w:spacing w:line="240" w:lineRule="auto"/>
        <w:ind w:left="720" w:hanging="360"/>
      </w:pPr>
      <w:r w:rsidRPr="001F123C">
        <w:t xml:space="preserve">The CCH A and </w:t>
      </w:r>
      <w:r w:rsidR="006021EF">
        <w:t xml:space="preserve">CCH </w:t>
      </w:r>
      <w:r w:rsidRPr="001F123C">
        <w:t xml:space="preserve">B petitions contend that the Little Rock Creek TMDL fails to properly account for and quantify natural background levels as required by state law, specifically the Minnesota Clean Water Legacy Act (CWLA) (Minn. Stat. § 114D.15, </w:t>
      </w:r>
      <w:proofErr w:type="spellStart"/>
      <w:r w:rsidRPr="001F123C">
        <w:t>subd</w:t>
      </w:r>
      <w:proofErr w:type="spellEnd"/>
      <w:r w:rsidRPr="001F123C">
        <w:t xml:space="preserve">. 10), and Minn. R. 7050.0170, regarding natural water quality. </w:t>
      </w:r>
    </w:p>
    <w:p w:rsidR="00E0264C" w:rsidRPr="001F123C" w:rsidRDefault="00E0264C" w:rsidP="00172DB8">
      <w:pPr>
        <w:pStyle w:val="ListParagraph"/>
        <w:spacing w:line="240" w:lineRule="auto"/>
        <w:ind w:hanging="360"/>
      </w:pPr>
    </w:p>
    <w:p w:rsidR="00E0264C" w:rsidRPr="001F123C" w:rsidRDefault="00E0264C" w:rsidP="00172DB8">
      <w:pPr>
        <w:pStyle w:val="ListParagraph"/>
        <w:numPr>
          <w:ilvl w:val="0"/>
          <w:numId w:val="1"/>
        </w:numPr>
        <w:autoSpaceDE w:val="0"/>
        <w:autoSpaceDN w:val="0"/>
        <w:adjustRightInd w:val="0"/>
        <w:spacing w:line="240" w:lineRule="auto"/>
        <w:ind w:left="720" w:hanging="360"/>
      </w:pPr>
      <w:r w:rsidRPr="001F123C">
        <w:t>The</w:t>
      </w:r>
      <w:r w:rsidR="00B42F74">
        <w:t xml:space="preserve"> CCH A and CCH B</w:t>
      </w:r>
      <w:r w:rsidRPr="001F123C">
        <w:t xml:space="preserve"> petitio</w:t>
      </w:r>
      <w:r w:rsidR="00B42F74">
        <w:t>n</w:t>
      </w:r>
      <w:r w:rsidRPr="001F123C">
        <w:t>s mischaracterize the requirements of the CWLA and Minn. R. 7050.0170, and ignore additional federal rule</w:t>
      </w:r>
      <w:r w:rsidR="00933B86">
        <w:t xml:space="preserve"> and guidance</w:t>
      </w:r>
      <w:r w:rsidR="00967BEC" w:rsidRPr="001F123C">
        <w:t>.</w:t>
      </w:r>
      <w:r w:rsidRPr="001F123C">
        <w:t xml:space="preserve"> </w:t>
      </w:r>
    </w:p>
    <w:p w:rsidR="00E0264C" w:rsidRPr="001F123C" w:rsidRDefault="00E0264C" w:rsidP="00172DB8">
      <w:pPr>
        <w:pStyle w:val="ListParagraph"/>
        <w:autoSpaceDE w:val="0"/>
        <w:autoSpaceDN w:val="0"/>
        <w:adjustRightInd w:val="0"/>
        <w:spacing w:line="240" w:lineRule="auto"/>
        <w:ind w:hanging="360"/>
      </w:pPr>
    </w:p>
    <w:p w:rsidR="00E0264C" w:rsidRDefault="00E0264C" w:rsidP="00172DB8">
      <w:pPr>
        <w:pStyle w:val="ListParagraph"/>
        <w:numPr>
          <w:ilvl w:val="0"/>
          <w:numId w:val="1"/>
        </w:numPr>
        <w:autoSpaceDE w:val="0"/>
        <w:autoSpaceDN w:val="0"/>
        <w:adjustRightInd w:val="0"/>
        <w:spacing w:line="240" w:lineRule="auto"/>
        <w:ind w:left="720" w:hanging="360"/>
      </w:pPr>
      <w:r w:rsidRPr="001F123C">
        <w:t xml:space="preserve">Federal rule </w:t>
      </w:r>
      <w:r w:rsidR="00484CAD" w:rsidRPr="001F123C">
        <w:t xml:space="preserve">and EPA guidance </w:t>
      </w:r>
      <w:r w:rsidRPr="001F123C">
        <w:t xml:space="preserve">state that a separate, explicit load allocation for natural background sources is not required if it is not possible to separate natural background from nonpoint sources (i.e., the two components of load allocations). </w:t>
      </w:r>
      <w:proofErr w:type="gramStart"/>
      <w:r w:rsidRPr="001F123C">
        <w:t>40</w:t>
      </w:r>
      <w:proofErr w:type="gramEnd"/>
      <w:r w:rsidRPr="001F123C">
        <w:t xml:space="preserve"> CFR § 130.33(b). The final sentence of the federal definition of load allocation in 40 CFR § 130.2 (g) states that natural and </w:t>
      </w:r>
      <w:r w:rsidRPr="001F123C">
        <w:lastRenderedPageBreak/>
        <w:t xml:space="preserve">nonpoint source loads should be distinguished “wherever possible.” </w:t>
      </w:r>
      <w:r w:rsidR="002862A5" w:rsidRPr="002862A5">
        <w:rPr>
          <w:i/>
        </w:rPr>
        <w:t>Technical Guidance Manual for Developing Total Maximum Daily Loads: Book 2, Rivers and Streams; Part 1 Biochemical Oxygen Demand/DO and Nutrient Eutrophication</w:t>
      </w:r>
      <w:r w:rsidR="002862A5" w:rsidRPr="001F123C">
        <w:t xml:space="preserve">, EPA/823/B-97-002, Year 1997 </w:t>
      </w:r>
      <w:hyperlink r:id="rId23" w:history="1">
        <w:r w:rsidR="002862A5" w:rsidRPr="003375B2">
          <w:rPr>
            <w:rStyle w:val="Hyperlink"/>
          </w:rPr>
          <w:t>http://water.epa.gov/scitech/datait/models/upload/2006_12_05_standards_tmdl_guidance.pdf</w:t>
        </w:r>
      </w:hyperlink>
    </w:p>
    <w:p w:rsidR="002862A5" w:rsidRPr="001F123C" w:rsidRDefault="002862A5" w:rsidP="002862A5">
      <w:pPr>
        <w:autoSpaceDE w:val="0"/>
        <w:autoSpaceDN w:val="0"/>
        <w:adjustRightInd w:val="0"/>
        <w:spacing w:line="240" w:lineRule="auto"/>
      </w:pPr>
    </w:p>
    <w:p w:rsidR="00E0264C" w:rsidRPr="001F123C" w:rsidRDefault="00E0264C" w:rsidP="00172DB8">
      <w:pPr>
        <w:pStyle w:val="ListParagraph"/>
        <w:numPr>
          <w:ilvl w:val="0"/>
          <w:numId w:val="1"/>
        </w:numPr>
        <w:autoSpaceDE w:val="0"/>
        <w:autoSpaceDN w:val="0"/>
        <w:adjustRightInd w:val="0"/>
        <w:spacing w:line="240" w:lineRule="auto"/>
        <w:ind w:left="720" w:hanging="360"/>
      </w:pPr>
      <w:r w:rsidRPr="001F123C">
        <w:t xml:space="preserve">The </w:t>
      </w:r>
      <w:r w:rsidR="00B42F74">
        <w:t xml:space="preserve">CCH A and CCH B </w:t>
      </w:r>
      <w:r w:rsidRPr="001F123C">
        <w:t>petition</w:t>
      </w:r>
      <w:r w:rsidR="00B42F74">
        <w:t>s’</w:t>
      </w:r>
      <w:r w:rsidRPr="001F123C">
        <w:t xml:space="preserve"> contention that the State CWLA requires separate quantification of natural background levels is inaccurate. Similar to the </w:t>
      </w:r>
      <w:r w:rsidR="00905931">
        <w:t>F</w:t>
      </w:r>
      <w:r w:rsidRPr="001F123C">
        <w:t xml:space="preserve">ederal rules, the State definition of a TMDL in the CWLA indicates nonpoint sources and natural background are both part of the load allocation, however, the definition does not require a separate, explicit load allocation for natural background sources in a TMDL. </w:t>
      </w:r>
      <w:proofErr w:type="gramStart"/>
      <w:r w:rsidRPr="001F123C">
        <w:t xml:space="preserve">Minn. Stat. § 114D.15, </w:t>
      </w:r>
      <w:proofErr w:type="spellStart"/>
      <w:r w:rsidRPr="001F123C">
        <w:t>Subd</w:t>
      </w:r>
      <w:proofErr w:type="spellEnd"/>
      <w:r w:rsidRPr="001F123C">
        <w:t>.</w:t>
      </w:r>
      <w:proofErr w:type="gramEnd"/>
      <w:r w:rsidRPr="001F123C">
        <w:t xml:space="preserve"> 10.</w:t>
      </w:r>
    </w:p>
    <w:p w:rsidR="00E0264C" w:rsidRPr="001F123C" w:rsidRDefault="00E0264C" w:rsidP="00172DB8">
      <w:pPr>
        <w:pStyle w:val="ListParagraph"/>
        <w:autoSpaceDE w:val="0"/>
        <w:autoSpaceDN w:val="0"/>
        <w:adjustRightInd w:val="0"/>
        <w:spacing w:line="240" w:lineRule="auto"/>
        <w:ind w:hanging="360"/>
      </w:pPr>
    </w:p>
    <w:p w:rsidR="002555AD" w:rsidRDefault="002555AD" w:rsidP="002555AD">
      <w:pPr>
        <w:pStyle w:val="ListParagraph"/>
        <w:numPr>
          <w:ilvl w:val="0"/>
          <w:numId w:val="1"/>
        </w:numPr>
        <w:spacing w:line="240" w:lineRule="auto"/>
        <w:ind w:left="720" w:hanging="360"/>
      </w:pPr>
      <w:r w:rsidRPr="001F123C">
        <w:t xml:space="preserve">The Little Rock Creek TMDL </w:t>
      </w:r>
      <w:r>
        <w:t>project area</w:t>
      </w:r>
      <w:r w:rsidRPr="001F123C">
        <w:t xml:space="preserve"> is highly altered by human influenced agricultural land uses. Alterations include removal of </w:t>
      </w:r>
      <w:r>
        <w:t xml:space="preserve">native </w:t>
      </w:r>
      <w:r w:rsidRPr="001F123C">
        <w:t xml:space="preserve">perennial cover and hydrologic modification through irrigation and artificial drainage. According to the National Agricultural Statistical Service, in 2009 the land use in the watershed consisted of 50% crops, 14% woodland, 22% grass/pasture, 13% water/wetlands and less than 1% residential development. Due to the predominance of sandy soils in the watershed, 16% of row crops </w:t>
      </w:r>
      <w:proofErr w:type="gramStart"/>
      <w:r w:rsidRPr="001F123C">
        <w:t>are irrigated</w:t>
      </w:r>
      <w:proofErr w:type="gramEnd"/>
      <w:r w:rsidRPr="001F123C">
        <w:t xml:space="preserve">. Channelization is not prevalent on the main stem of Little Rock Creek although many tributaries in the upper watershed </w:t>
      </w:r>
      <w:proofErr w:type="gramStart"/>
      <w:r w:rsidRPr="001F123C">
        <w:t>have been ditched and straightened</w:t>
      </w:r>
      <w:proofErr w:type="gramEnd"/>
      <w:r w:rsidRPr="001F123C">
        <w:t xml:space="preserve">. </w:t>
      </w:r>
      <w:proofErr w:type="gramStart"/>
      <w:r w:rsidRPr="001F123C">
        <w:t xml:space="preserve">See </w:t>
      </w:r>
      <w:r w:rsidRPr="001F123C">
        <w:rPr>
          <w:i/>
        </w:rPr>
        <w:t xml:space="preserve">Draft Little Rock Creek Watershed </w:t>
      </w:r>
      <w:r>
        <w:rPr>
          <w:i/>
        </w:rPr>
        <w:t>TMDL</w:t>
      </w:r>
      <w:r w:rsidRPr="001F123C">
        <w:t xml:space="preserve"> </w:t>
      </w:r>
      <w:r>
        <w:t>at</w:t>
      </w:r>
      <w:r w:rsidRPr="001F123C">
        <w:t xml:space="preserve"> 6 and A-9.</w:t>
      </w:r>
      <w:proofErr w:type="gramEnd"/>
    </w:p>
    <w:p w:rsidR="002555AD" w:rsidRPr="001F123C" w:rsidRDefault="002555AD" w:rsidP="002555AD">
      <w:pPr>
        <w:spacing w:line="240" w:lineRule="auto"/>
      </w:pPr>
    </w:p>
    <w:p w:rsidR="00E0264C" w:rsidRPr="001F123C" w:rsidRDefault="00E0264C" w:rsidP="00B42F74">
      <w:pPr>
        <w:pStyle w:val="ListParagraph"/>
        <w:numPr>
          <w:ilvl w:val="0"/>
          <w:numId w:val="1"/>
        </w:numPr>
        <w:autoSpaceDE w:val="0"/>
        <w:autoSpaceDN w:val="0"/>
        <w:adjustRightInd w:val="0"/>
        <w:spacing w:line="240" w:lineRule="auto"/>
        <w:ind w:left="720" w:hanging="360"/>
      </w:pPr>
      <w:r w:rsidRPr="001F123C">
        <w:t xml:space="preserve">The </w:t>
      </w:r>
      <w:r w:rsidR="00905931">
        <w:t xml:space="preserve">MPCA finds the </w:t>
      </w:r>
      <w:r w:rsidR="00B42F74">
        <w:t xml:space="preserve">CCH A and CCH B </w:t>
      </w:r>
      <w:r w:rsidRPr="001F123C">
        <w:t>petitions</w:t>
      </w:r>
      <w:r w:rsidR="00E33EDA">
        <w:t>’</w:t>
      </w:r>
      <w:r w:rsidRPr="001F123C">
        <w:t xml:space="preserve"> contention that Minn. R. 7050.0170 requires separate quantification of natural background levels in a TMDL is a misapplication of the rule. Minn. Rule 7050.0170, states that natural background levels </w:t>
      </w:r>
      <w:proofErr w:type="gramStart"/>
      <w:r w:rsidRPr="001F123C">
        <w:t>can be used</w:t>
      </w:r>
      <w:proofErr w:type="gramEnd"/>
      <w:r w:rsidRPr="001F123C">
        <w:t xml:space="preserve"> as the water quality standard in streams that are in a “natural condition.” Minn. R. 7050.0170 further states that, “Natural conditions exist where there is no discernible impact from point or nonpoint source pollutants attributable to human activity or from a physical alteration of wetlands.” The Little Rock Creek TMDL </w:t>
      </w:r>
      <w:r w:rsidR="002555AD">
        <w:t>project area</w:t>
      </w:r>
      <w:r w:rsidRPr="001F123C">
        <w:t xml:space="preserve"> is not in a natural condition due to human activity such as extensive agricultural cultivation, thus </w:t>
      </w:r>
      <w:r w:rsidR="00B42F74">
        <w:t xml:space="preserve">the Little Rock Creek TMDL project area is not in a </w:t>
      </w:r>
      <w:r w:rsidRPr="001F123C">
        <w:t>natural condition</w:t>
      </w:r>
      <w:r w:rsidR="00B42F74">
        <w:t xml:space="preserve"> at present. As</w:t>
      </w:r>
      <w:r w:rsidRPr="001F123C">
        <w:t xml:space="preserve"> Minn. R. 7050.0170 </w:t>
      </w:r>
      <w:r w:rsidR="00B42F74">
        <w:t xml:space="preserve">is not applicable for the TMDL project area </w:t>
      </w:r>
      <w:r w:rsidRPr="001F123C">
        <w:t xml:space="preserve">the load allocation sources in the Little Rock Creek TMDL </w:t>
      </w:r>
      <w:r w:rsidR="002555AD">
        <w:t>project area</w:t>
      </w:r>
      <w:r w:rsidRPr="001F123C">
        <w:t xml:space="preserve"> include both human influenced factors and natural background conditions, therefore a TMDL is required and natural</w:t>
      </w:r>
      <w:r w:rsidR="00753708">
        <w:t xml:space="preserve"> background levels cannot be used</w:t>
      </w:r>
      <w:r w:rsidRPr="001F123C">
        <w:t xml:space="preserve"> as a water quality standard.</w:t>
      </w:r>
    </w:p>
    <w:p w:rsidR="00E0264C" w:rsidRPr="001F123C" w:rsidRDefault="00E0264C" w:rsidP="00172DB8">
      <w:pPr>
        <w:pStyle w:val="ListParagraph"/>
        <w:autoSpaceDE w:val="0"/>
        <w:autoSpaceDN w:val="0"/>
        <w:adjustRightInd w:val="0"/>
        <w:spacing w:line="240" w:lineRule="auto"/>
        <w:ind w:hanging="360"/>
      </w:pPr>
    </w:p>
    <w:p w:rsidR="00484CAD" w:rsidRPr="001F123C" w:rsidRDefault="00E0264C" w:rsidP="00172DB8">
      <w:pPr>
        <w:pStyle w:val="ListParagraph"/>
        <w:numPr>
          <w:ilvl w:val="0"/>
          <w:numId w:val="1"/>
        </w:numPr>
        <w:autoSpaceDE w:val="0"/>
        <w:autoSpaceDN w:val="0"/>
        <w:adjustRightInd w:val="0"/>
        <w:spacing w:line="240" w:lineRule="auto"/>
        <w:ind w:left="720" w:hanging="360"/>
      </w:pPr>
      <w:r w:rsidRPr="001F123C">
        <w:t xml:space="preserve">The MPCA does not dispute that the </w:t>
      </w:r>
      <w:r w:rsidR="00EC47F7" w:rsidRPr="001F123C">
        <w:t>Little Rock Creek</w:t>
      </w:r>
      <w:r w:rsidRPr="001F123C">
        <w:t xml:space="preserve"> TMDL does not include a separate, explicit load allocation for natural background sources. Natural background loading is included in, but not separately identified, in the load allocations</w:t>
      </w:r>
      <w:r w:rsidR="00EC47F7" w:rsidRPr="001F123C">
        <w:t>.</w:t>
      </w:r>
      <w:r w:rsidRPr="001F123C">
        <w:t xml:space="preserve"> Natural background sources </w:t>
      </w:r>
      <w:proofErr w:type="gramStart"/>
      <w:r w:rsidRPr="001F123C">
        <w:t>are not separately identified</w:t>
      </w:r>
      <w:proofErr w:type="gramEnd"/>
      <w:r w:rsidRPr="001F123C">
        <w:t xml:space="preserve"> in the LAs because </w:t>
      </w:r>
      <w:r w:rsidR="0026356B" w:rsidRPr="001F123C">
        <w:t xml:space="preserve">nearly the entire pollutant loading to Little Rock Creek is from nonpoint sources and natural background, and </w:t>
      </w:r>
      <w:r w:rsidRPr="001F123C">
        <w:t xml:space="preserve">current research is not sufficient to differentiate between nonpoint </w:t>
      </w:r>
      <w:r w:rsidR="004C53A0">
        <w:t>and</w:t>
      </w:r>
      <w:r w:rsidRPr="001F123C">
        <w:t xml:space="preserve"> natural background sources of </w:t>
      </w:r>
      <w:r w:rsidR="00EC47F7" w:rsidRPr="001F123C">
        <w:t>pollutants.</w:t>
      </w:r>
      <w:r w:rsidR="00484CAD" w:rsidRPr="001F123C">
        <w:t xml:space="preserve"> </w:t>
      </w:r>
    </w:p>
    <w:p w:rsidR="0026356B" w:rsidRPr="001F123C" w:rsidRDefault="0026356B" w:rsidP="00172DB8">
      <w:pPr>
        <w:autoSpaceDE w:val="0"/>
        <w:autoSpaceDN w:val="0"/>
        <w:adjustRightInd w:val="0"/>
        <w:spacing w:line="240" w:lineRule="auto"/>
        <w:ind w:left="720" w:hanging="360"/>
      </w:pPr>
    </w:p>
    <w:p w:rsidR="00E0264C" w:rsidRPr="001F123C" w:rsidRDefault="00E0264C" w:rsidP="00172DB8">
      <w:pPr>
        <w:pStyle w:val="ListParagraph"/>
        <w:numPr>
          <w:ilvl w:val="0"/>
          <w:numId w:val="1"/>
        </w:numPr>
        <w:autoSpaceDE w:val="0"/>
        <w:autoSpaceDN w:val="0"/>
        <w:adjustRightInd w:val="0"/>
        <w:spacing w:line="240" w:lineRule="auto"/>
        <w:ind w:left="720" w:hanging="360"/>
      </w:pPr>
      <w:r w:rsidRPr="001F123C">
        <w:t>Following federal and state law and guidance, the MPCA determined that it was not possible to distinguish natural background loads clearly enough from nonpoint sources to support separate load allocations</w:t>
      </w:r>
      <w:r w:rsidR="00EC47F7" w:rsidRPr="001F123C">
        <w:t xml:space="preserve"> in the Little Rock Creek TMDL.</w:t>
      </w:r>
    </w:p>
    <w:p w:rsidR="00EC47F7" w:rsidRPr="001F123C" w:rsidRDefault="00EC47F7" w:rsidP="00172DB8">
      <w:pPr>
        <w:autoSpaceDE w:val="0"/>
        <w:autoSpaceDN w:val="0"/>
        <w:adjustRightInd w:val="0"/>
        <w:spacing w:line="240" w:lineRule="auto"/>
        <w:ind w:left="720" w:hanging="360"/>
      </w:pPr>
    </w:p>
    <w:p w:rsidR="00E0264C" w:rsidRPr="001F123C" w:rsidRDefault="00C36265" w:rsidP="00EC0F61">
      <w:pPr>
        <w:pStyle w:val="ListParagraph"/>
        <w:numPr>
          <w:ilvl w:val="0"/>
          <w:numId w:val="1"/>
        </w:numPr>
        <w:autoSpaceDE w:val="0"/>
        <w:autoSpaceDN w:val="0"/>
        <w:adjustRightInd w:val="0"/>
        <w:spacing w:line="240" w:lineRule="auto"/>
        <w:ind w:left="720" w:hanging="360"/>
      </w:pPr>
      <w:r w:rsidRPr="00B824EC">
        <w:t xml:space="preserve">On the </w:t>
      </w:r>
      <w:r w:rsidR="006575B9">
        <w:t xml:space="preserve">CCH A and CCH B </w:t>
      </w:r>
      <w:r w:rsidRPr="00B824EC">
        <w:t>petition</w:t>
      </w:r>
      <w:r w:rsidR="006575B9">
        <w:t>s</w:t>
      </w:r>
      <w:r w:rsidRPr="00B824EC">
        <w:t>’ matter of concern related to natural background, t</w:t>
      </w:r>
      <w:r w:rsidR="00E0264C" w:rsidRPr="00B824EC">
        <w:t xml:space="preserve">he MPCA finds that the petitioners fail to show the existence of a </w:t>
      </w:r>
      <w:r w:rsidR="00EC0F61" w:rsidRPr="00B824EC">
        <w:t>disputed material</w:t>
      </w:r>
      <w:r w:rsidR="00E0264C" w:rsidRPr="00B824EC">
        <w:t xml:space="preserve"> issue of fact</w:t>
      </w:r>
      <w:r w:rsidR="00EC0F61" w:rsidRPr="00B824EC">
        <w:t xml:space="preserve"> concerning the matter pending before the board or commissioner.</w:t>
      </w:r>
      <w:r w:rsidR="00E0264C" w:rsidRPr="00B824EC">
        <w:t xml:space="preserve"> The petitions instead dispute</w:t>
      </w:r>
      <w:r w:rsidR="00E0264C" w:rsidRPr="001F123C">
        <w:t xml:space="preserve"> the interpretation and application of law and guidance. This is a question of law or policy, not a </w:t>
      </w:r>
      <w:r w:rsidR="00E0264C" w:rsidRPr="001F123C">
        <w:lastRenderedPageBreak/>
        <w:t>question of fact. The MPCA finds the petitions</w:t>
      </w:r>
      <w:r w:rsidR="00C62F1D">
        <w:t>’</w:t>
      </w:r>
      <w:r w:rsidR="00E0264C" w:rsidRPr="001F123C">
        <w:t xml:space="preserve"> contention that the proposed </w:t>
      </w:r>
      <w:r w:rsidR="00146246" w:rsidRPr="001F123C">
        <w:t xml:space="preserve">Little Rock Creek </w:t>
      </w:r>
      <w:r w:rsidR="00E0264C" w:rsidRPr="001F123C">
        <w:t xml:space="preserve">TMDL fails to properly account for and quantify natural background levels as required by state law, specifically the CWLA fails the criterion of Minn. R. 7000.1900, </w:t>
      </w:r>
      <w:proofErr w:type="spellStart"/>
      <w:r w:rsidR="00E0264C" w:rsidRPr="001F123C">
        <w:t>subp</w:t>
      </w:r>
      <w:proofErr w:type="spellEnd"/>
      <w:r w:rsidR="00E0264C" w:rsidRPr="001F123C">
        <w:t xml:space="preserve">. </w:t>
      </w:r>
      <w:proofErr w:type="gramStart"/>
      <w:r w:rsidR="00E0264C" w:rsidRPr="001F123C">
        <w:t>1</w:t>
      </w:r>
      <w:r w:rsidR="00EC0F61">
        <w:t>(</w:t>
      </w:r>
      <w:r w:rsidR="006A211A">
        <w:t>A</w:t>
      </w:r>
      <w:r w:rsidR="00EC0F61">
        <w:t>)</w:t>
      </w:r>
      <w:r w:rsidR="00E0264C" w:rsidRPr="001F123C">
        <w:t xml:space="preserve"> because the petitions state an issue of law or policy, not of fact.</w:t>
      </w:r>
      <w:proofErr w:type="gramEnd"/>
      <w:r w:rsidR="00E0264C" w:rsidRPr="001F123C">
        <w:t xml:space="preserve"> </w:t>
      </w:r>
    </w:p>
    <w:p w:rsidR="00E0264C" w:rsidRPr="001F123C" w:rsidRDefault="00E0264C" w:rsidP="00172DB8">
      <w:pPr>
        <w:pStyle w:val="ListParagraph"/>
        <w:autoSpaceDE w:val="0"/>
        <w:autoSpaceDN w:val="0"/>
        <w:adjustRightInd w:val="0"/>
        <w:spacing w:line="240" w:lineRule="auto"/>
      </w:pPr>
    </w:p>
    <w:p w:rsidR="00061088" w:rsidRDefault="002A1A16" w:rsidP="00B72C4C">
      <w:pPr>
        <w:autoSpaceDE w:val="0"/>
        <w:autoSpaceDN w:val="0"/>
        <w:adjustRightInd w:val="0"/>
        <w:spacing w:line="240" w:lineRule="auto"/>
        <w:ind w:left="360"/>
        <w:rPr>
          <w:b/>
          <w:i/>
        </w:rPr>
      </w:pPr>
      <w:proofErr w:type="gramStart"/>
      <w:r>
        <w:rPr>
          <w:rFonts w:eastAsia="Times New Roman" w:cs="Times New Roman"/>
          <w:b/>
          <w:i/>
        </w:rPr>
        <w:t xml:space="preserve">Regarding </w:t>
      </w:r>
      <w:r w:rsidR="00CB4992">
        <w:rPr>
          <w:rFonts w:eastAsia="Times New Roman" w:cs="Times New Roman"/>
          <w:b/>
          <w:i/>
        </w:rPr>
        <w:t xml:space="preserve">CCH A and CCH B </w:t>
      </w:r>
      <w:r>
        <w:rPr>
          <w:rFonts w:eastAsia="Times New Roman" w:cs="Times New Roman"/>
          <w:b/>
          <w:i/>
        </w:rPr>
        <w:t>p</w:t>
      </w:r>
      <w:r w:rsidR="00E310D3">
        <w:rPr>
          <w:rFonts w:eastAsia="Times New Roman" w:cs="Times New Roman"/>
          <w:b/>
          <w:i/>
        </w:rPr>
        <w:t>etitions</w:t>
      </w:r>
      <w:r w:rsidR="00C64985">
        <w:rPr>
          <w:rFonts w:eastAsia="Times New Roman" w:cs="Times New Roman"/>
          <w:b/>
          <w:i/>
        </w:rPr>
        <w:t>’</w:t>
      </w:r>
      <w:r w:rsidR="00E310D3">
        <w:rPr>
          <w:rFonts w:eastAsia="Times New Roman" w:cs="Times New Roman"/>
          <w:b/>
          <w:i/>
        </w:rPr>
        <w:t xml:space="preserve"> m</w:t>
      </w:r>
      <w:r w:rsidR="000B4F8F" w:rsidRPr="001F123C">
        <w:rPr>
          <w:rFonts w:eastAsia="Times New Roman" w:cs="Times New Roman"/>
          <w:b/>
          <w:i/>
        </w:rPr>
        <w:t xml:space="preserve">atter of </w:t>
      </w:r>
      <w:r w:rsidR="00C20E55">
        <w:rPr>
          <w:rFonts w:eastAsia="Times New Roman" w:cs="Times New Roman"/>
          <w:b/>
          <w:i/>
        </w:rPr>
        <w:t>c</w:t>
      </w:r>
      <w:r w:rsidR="00505D67" w:rsidRPr="001F123C">
        <w:rPr>
          <w:rFonts w:eastAsia="Times New Roman" w:cs="Times New Roman"/>
          <w:b/>
          <w:i/>
        </w:rPr>
        <w:t xml:space="preserve">oncern </w:t>
      </w:r>
      <w:r w:rsidR="00C20E55">
        <w:rPr>
          <w:rFonts w:eastAsia="Times New Roman" w:cs="Times New Roman"/>
          <w:b/>
          <w:i/>
        </w:rPr>
        <w:t>related to</w:t>
      </w:r>
      <w:r w:rsidR="00505D67" w:rsidRPr="001F123C">
        <w:rPr>
          <w:rFonts w:eastAsia="Times New Roman" w:cs="Times New Roman"/>
          <w:b/>
          <w:i/>
        </w:rPr>
        <w:t xml:space="preserve"> increased </w:t>
      </w:r>
      <w:r w:rsidR="00B17186" w:rsidRPr="001F123C">
        <w:rPr>
          <w:rFonts w:eastAsia="Times New Roman" w:cs="Times New Roman"/>
          <w:b/>
          <w:i/>
        </w:rPr>
        <w:t xml:space="preserve">impairment of </w:t>
      </w:r>
      <w:r w:rsidR="00505D67" w:rsidRPr="001F123C">
        <w:rPr>
          <w:rFonts w:eastAsia="Times New Roman" w:cs="Times New Roman"/>
          <w:b/>
          <w:i/>
        </w:rPr>
        <w:t xml:space="preserve">Little Rock </w:t>
      </w:r>
      <w:r w:rsidR="00505D67" w:rsidRPr="002E1E45">
        <w:rPr>
          <w:rFonts w:eastAsia="Times New Roman" w:cs="Times New Roman"/>
          <w:b/>
          <w:i/>
          <w:u w:val="single"/>
        </w:rPr>
        <w:t>Lake</w:t>
      </w:r>
      <w:r>
        <w:rPr>
          <w:rFonts w:eastAsia="Times New Roman" w:cs="Times New Roman"/>
          <w:b/>
          <w:i/>
        </w:rPr>
        <w:t xml:space="preserve">, the </w:t>
      </w:r>
      <w:r w:rsidRPr="002E1E45">
        <w:rPr>
          <w:rFonts w:eastAsia="Times New Roman" w:cs="Times New Roman"/>
          <w:b/>
          <w:i/>
        </w:rPr>
        <w:t>petition</w:t>
      </w:r>
      <w:r w:rsidR="002E1E45">
        <w:rPr>
          <w:rFonts w:eastAsia="Times New Roman" w:cs="Times New Roman"/>
          <w:b/>
          <w:i/>
        </w:rPr>
        <w:t>s</w:t>
      </w:r>
      <w:r w:rsidR="007F4834">
        <w:rPr>
          <w:rFonts w:eastAsia="Times New Roman" w:cs="Times New Roman"/>
          <w:b/>
          <w:i/>
        </w:rPr>
        <w:t xml:space="preserve"> </w:t>
      </w:r>
      <w:r w:rsidR="007F4834" w:rsidRPr="006A211A">
        <w:rPr>
          <w:b/>
          <w:i/>
        </w:rPr>
        <w:t xml:space="preserve">fail criterion </w:t>
      </w:r>
      <w:r w:rsidR="007F4834">
        <w:rPr>
          <w:b/>
          <w:i/>
        </w:rPr>
        <w:t>A of Minn. R. 7000.1900, subp.1 , because they</w:t>
      </w:r>
      <w:r w:rsidR="002E1E45">
        <w:rPr>
          <w:rFonts w:eastAsia="Times New Roman" w:cs="Times New Roman"/>
          <w:b/>
          <w:i/>
        </w:rPr>
        <w:t xml:space="preserve"> fail</w:t>
      </w:r>
      <w:r w:rsidR="002E1E45">
        <w:rPr>
          <w:b/>
        </w:rPr>
        <w:t xml:space="preserve"> </w:t>
      </w:r>
      <w:r w:rsidR="002E1E45" w:rsidRPr="002E1E45">
        <w:rPr>
          <w:b/>
          <w:i/>
        </w:rPr>
        <w:t>to state a</w:t>
      </w:r>
      <w:r w:rsidR="00CB4992">
        <w:rPr>
          <w:b/>
          <w:i/>
        </w:rPr>
        <w:t xml:space="preserve"> material </w:t>
      </w:r>
      <w:r w:rsidR="002E1E45" w:rsidRPr="002E1E45">
        <w:rPr>
          <w:b/>
          <w:i/>
        </w:rPr>
        <w:t xml:space="preserve">issue </w:t>
      </w:r>
      <w:r w:rsidR="00CB4992">
        <w:rPr>
          <w:b/>
          <w:i/>
        </w:rPr>
        <w:t xml:space="preserve">of fact in dispute concerning </w:t>
      </w:r>
      <w:r w:rsidR="002E1E45" w:rsidRPr="002E1E45">
        <w:rPr>
          <w:rFonts w:eastAsia="Times New Roman" w:cs="Times New Roman"/>
          <w:b/>
          <w:i/>
        </w:rPr>
        <w:t xml:space="preserve">the matter </w:t>
      </w:r>
      <w:r w:rsidR="007F4834">
        <w:rPr>
          <w:rFonts w:eastAsia="Times New Roman" w:cs="Times New Roman"/>
          <w:b/>
          <w:i/>
        </w:rPr>
        <w:t>pending before the commissioner</w:t>
      </w:r>
      <w:r w:rsidR="00CB4992">
        <w:rPr>
          <w:rStyle w:val="FootnoteReference"/>
          <w:rFonts w:eastAsia="Times New Roman" w:cs="Times New Roman"/>
          <w:b/>
          <w:i/>
        </w:rPr>
        <w:footnoteReference w:id="1"/>
      </w:r>
      <w:r w:rsidR="00B72C4C">
        <w:rPr>
          <w:rFonts w:eastAsia="Times New Roman" w:cs="Times New Roman"/>
          <w:b/>
          <w:i/>
        </w:rPr>
        <w:t>as issues</w:t>
      </w:r>
      <w:r w:rsidR="00061088">
        <w:rPr>
          <w:b/>
          <w:i/>
        </w:rPr>
        <w:t xml:space="preserve"> related to Little Rock </w:t>
      </w:r>
      <w:r w:rsidR="00061088" w:rsidRPr="0070543A">
        <w:rPr>
          <w:b/>
          <w:i/>
          <w:u w:val="single"/>
        </w:rPr>
        <w:t>Lake</w:t>
      </w:r>
      <w:r w:rsidR="00061088">
        <w:rPr>
          <w:b/>
          <w:i/>
        </w:rPr>
        <w:t xml:space="preserve"> do not relate to the matter pending before the commissioner</w:t>
      </w:r>
      <w:proofErr w:type="gramEnd"/>
    </w:p>
    <w:p w:rsidR="00061088" w:rsidRPr="001931B4" w:rsidRDefault="00061088" w:rsidP="00172DB8">
      <w:pPr>
        <w:pStyle w:val="ListParagraph"/>
        <w:autoSpaceDE w:val="0"/>
        <w:autoSpaceDN w:val="0"/>
        <w:adjustRightInd w:val="0"/>
        <w:spacing w:line="240" w:lineRule="auto"/>
        <w:ind w:left="1080"/>
        <w:rPr>
          <w:b/>
          <w:i/>
        </w:rPr>
      </w:pPr>
    </w:p>
    <w:p w:rsidR="00657716" w:rsidRDefault="00B72C4C" w:rsidP="00172DB8">
      <w:pPr>
        <w:pStyle w:val="ListParagraph"/>
        <w:numPr>
          <w:ilvl w:val="0"/>
          <w:numId w:val="1"/>
        </w:numPr>
        <w:autoSpaceDE w:val="0"/>
        <w:autoSpaceDN w:val="0"/>
        <w:adjustRightInd w:val="0"/>
        <w:spacing w:line="240" w:lineRule="auto"/>
        <w:ind w:left="720" w:hanging="360"/>
      </w:pPr>
      <w:r>
        <w:t xml:space="preserve">The </w:t>
      </w:r>
      <w:r w:rsidR="00657716" w:rsidRPr="001F123C">
        <w:t xml:space="preserve">CCH A and </w:t>
      </w:r>
      <w:r w:rsidR="00AF62C4">
        <w:t xml:space="preserve">CCH </w:t>
      </w:r>
      <w:r w:rsidR="00657716" w:rsidRPr="001F123C">
        <w:t>B petition</w:t>
      </w:r>
      <w:r w:rsidR="00293E35" w:rsidRPr="001F123C">
        <w:t>s</w:t>
      </w:r>
      <w:r w:rsidR="00657716" w:rsidRPr="001F123C">
        <w:t xml:space="preserve"> </w:t>
      </w:r>
      <w:r w:rsidR="00A36CE0">
        <w:t xml:space="preserve">assert </w:t>
      </w:r>
      <w:r w:rsidR="00657716" w:rsidRPr="001F123C">
        <w:t xml:space="preserve">that the load allocations </w:t>
      </w:r>
      <w:r w:rsidR="005F0778">
        <w:t xml:space="preserve">for nitrate </w:t>
      </w:r>
      <w:r w:rsidR="00657716" w:rsidRPr="001F123C">
        <w:t xml:space="preserve">established in the Little Rock Creek TMDL will result in increased impairment of Little Rock </w:t>
      </w:r>
      <w:r w:rsidR="003B1CC9" w:rsidRPr="001E2D51">
        <w:rPr>
          <w:u w:val="single"/>
        </w:rPr>
        <w:t>Lake</w:t>
      </w:r>
      <w:r w:rsidR="00B524EA">
        <w:rPr>
          <w:u w:val="single"/>
        </w:rPr>
        <w:t>,</w:t>
      </w:r>
      <w:r w:rsidR="003B1CC9">
        <w:t xml:space="preserve"> </w:t>
      </w:r>
      <w:r w:rsidR="00657716" w:rsidRPr="001F123C">
        <w:t xml:space="preserve">which </w:t>
      </w:r>
      <w:r w:rsidR="003B1CC9">
        <w:t xml:space="preserve">they contend is </w:t>
      </w:r>
      <w:r w:rsidR="00657716" w:rsidRPr="001F123C">
        <w:t>contrary to federal and state law prohibit</w:t>
      </w:r>
      <w:r w:rsidR="003B1CC9">
        <w:t>ing</w:t>
      </w:r>
      <w:r w:rsidR="00657716" w:rsidRPr="001F123C">
        <w:t xml:space="preserve"> increased loading </w:t>
      </w:r>
      <w:r w:rsidR="004C2D4D">
        <w:t xml:space="preserve">of a pollutant </w:t>
      </w:r>
      <w:r w:rsidR="00657716" w:rsidRPr="001F123C">
        <w:t xml:space="preserve">to an already impaired water body. Specifically, </w:t>
      </w:r>
      <w:r w:rsidR="0062451D">
        <w:t>p</w:t>
      </w:r>
      <w:r w:rsidR="00657716" w:rsidRPr="001F123C">
        <w:t xml:space="preserve">etitioners assert that bio-accumulative toxin methyl-mercury and </w:t>
      </w:r>
      <w:r w:rsidR="00A41049">
        <w:t>blue-green</w:t>
      </w:r>
      <w:r w:rsidR="00657716" w:rsidRPr="001F123C">
        <w:t xml:space="preserve"> algae </w:t>
      </w:r>
      <w:proofErr w:type="gramStart"/>
      <w:r w:rsidR="00657716" w:rsidRPr="001F123C">
        <w:t>will be increased</w:t>
      </w:r>
      <w:proofErr w:type="gramEnd"/>
      <w:r w:rsidR="00657716" w:rsidRPr="001F123C">
        <w:t xml:space="preserve"> </w:t>
      </w:r>
      <w:r w:rsidR="003B1CC9">
        <w:t xml:space="preserve">in Little Rock </w:t>
      </w:r>
      <w:r w:rsidR="001E2D51" w:rsidRPr="001E2D51">
        <w:rPr>
          <w:u w:val="single"/>
        </w:rPr>
        <w:t>Lake</w:t>
      </w:r>
      <w:r w:rsidR="003B1CC9">
        <w:t xml:space="preserve"> </w:t>
      </w:r>
      <w:r w:rsidR="00657716" w:rsidRPr="001F123C">
        <w:t>if nitrate loading is decreased as planned in the Little Rock Creek TMDL.</w:t>
      </w:r>
    </w:p>
    <w:p w:rsidR="003B1CC9" w:rsidRDefault="00C90B88" w:rsidP="00172DB8">
      <w:pPr>
        <w:pStyle w:val="ListParagraph"/>
        <w:tabs>
          <w:tab w:val="left" w:pos="2373"/>
        </w:tabs>
        <w:autoSpaceDE w:val="0"/>
        <w:autoSpaceDN w:val="0"/>
        <w:adjustRightInd w:val="0"/>
        <w:spacing w:line="240" w:lineRule="auto"/>
        <w:ind w:hanging="360"/>
      </w:pPr>
      <w:r>
        <w:tab/>
      </w:r>
    </w:p>
    <w:p w:rsidR="001E2D51" w:rsidRDefault="003B1CC9" w:rsidP="00172DB8">
      <w:pPr>
        <w:pStyle w:val="ListParagraph"/>
        <w:numPr>
          <w:ilvl w:val="0"/>
          <w:numId w:val="1"/>
        </w:numPr>
        <w:spacing w:line="240" w:lineRule="auto"/>
        <w:ind w:left="720" w:hanging="360"/>
      </w:pPr>
      <w:r>
        <w:t xml:space="preserve">The Little Rock Creek TMDL </w:t>
      </w:r>
      <w:r w:rsidR="00B72C4C">
        <w:t xml:space="preserve">project area </w:t>
      </w:r>
      <w:r w:rsidR="006A68B5">
        <w:t xml:space="preserve">encompasses </w:t>
      </w:r>
      <w:r>
        <w:t>two impaired stream reaches</w:t>
      </w:r>
      <w:r w:rsidR="006F743B">
        <w:t xml:space="preserve"> that contribute to </w:t>
      </w:r>
      <w:r w:rsidR="006A68B5">
        <w:t xml:space="preserve">impairments of Little Rock Creek; a segment of </w:t>
      </w:r>
      <w:r w:rsidR="006A68B5" w:rsidRPr="003B1CC9">
        <w:t>Little Rock Creek (07010201-548)</w:t>
      </w:r>
      <w:r w:rsidR="00C46A6C">
        <w:t xml:space="preserve">;  and </w:t>
      </w:r>
      <w:r w:rsidR="006A68B5" w:rsidRPr="003B1CC9">
        <w:t>Bunker Hill Creek (07010201-511),</w:t>
      </w:r>
      <w:r w:rsidR="006A68B5">
        <w:t xml:space="preserve"> </w:t>
      </w:r>
      <w:r w:rsidR="006A68B5" w:rsidRPr="006F743B">
        <w:t>a major tributary to Little Rock Creek</w:t>
      </w:r>
      <w:r w:rsidR="00C46A6C">
        <w:t xml:space="preserve">. The Little Rock Creek TMDL does not cover Little Rock </w:t>
      </w:r>
      <w:r w:rsidR="00C46A6C" w:rsidRPr="001E2D51">
        <w:rPr>
          <w:u w:val="single"/>
        </w:rPr>
        <w:t>Lake</w:t>
      </w:r>
      <w:r w:rsidR="00C46A6C">
        <w:t>, which is located downstream from the two impaired stream reaches that are the focus of the TMDL.</w:t>
      </w:r>
      <w:r w:rsidR="0090317D">
        <w:t xml:space="preserve"> </w:t>
      </w:r>
      <w:r w:rsidR="0090317D" w:rsidRPr="0090317D">
        <w:t xml:space="preserve">See </w:t>
      </w:r>
      <w:r w:rsidR="0090317D" w:rsidRPr="001E2D51">
        <w:rPr>
          <w:i/>
        </w:rPr>
        <w:t xml:space="preserve">Draft Little Rock Creek Watershed </w:t>
      </w:r>
      <w:r w:rsidR="0070543A">
        <w:rPr>
          <w:i/>
        </w:rPr>
        <w:t>TMD,</w:t>
      </w:r>
      <w:r w:rsidR="0090317D" w:rsidRPr="0090317D">
        <w:t xml:space="preserve"> </w:t>
      </w:r>
      <w:r w:rsidR="0090317D">
        <w:t>Figure 1-1.</w:t>
      </w:r>
    </w:p>
    <w:p w:rsidR="001E2D51" w:rsidRDefault="001E2D51" w:rsidP="00172DB8">
      <w:pPr>
        <w:pStyle w:val="ListParagraph"/>
        <w:spacing w:line="240" w:lineRule="auto"/>
        <w:ind w:hanging="360"/>
      </w:pPr>
    </w:p>
    <w:p w:rsidR="001E2D51" w:rsidRDefault="001E2D51" w:rsidP="00172DB8">
      <w:pPr>
        <w:pStyle w:val="ListParagraph"/>
        <w:numPr>
          <w:ilvl w:val="0"/>
          <w:numId w:val="1"/>
        </w:numPr>
        <w:spacing w:line="240" w:lineRule="auto"/>
        <w:ind w:left="720" w:hanging="360"/>
      </w:pPr>
      <w:r>
        <w:t xml:space="preserve">In 2011, a TMDL </w:t>
      </w:r>
      <w:proofErr w:type="gramStart"/>
      <w:r>
        <w:t>was completed</w:t>
      </w:r>
      <w:proofErr w:type="gramEnd"/>
      <w:r>
        <w:t xml:space="preserve"> for nutrient impairments in Little Rock </w:t>
      </w:r>
      <w:r>
        <w:rPr>
          <w:u w:val="single"/>
        </w:rPr>
        <w:t>Lake</w:t>
      </w:r>
      <w:r>
        <w:t xml:space="preserve">. </w:t>
      </w:r>
      <w:r>
        <w:rPr>
          <w:i/>
        </w:rPr>
        <w:t xml:space="preserve">Little Rock Lake Nutrient TMDL, </w:t>
      </w:r>
      <w:r>
        <w:t xml:space="preserve">MPCA, November 2011. The EPA approved the Little Rock </w:t>
      </w:r>
      <w:r w:rsidRPr="00B665B5">
        <w:rPr>
          <w:u w:val="single"/>
        </w:rPr>
        <w:t>Lake</w:t>
      </w:r>
      <w:r>
        <w:t xml:space="preserve"> Nutrient TMDL on February 2, 2012.</w:t>
      </w:r>
    </w:p>
    <w:p w:rsidR="005B3C51" w:rsidRDefault="005B3C51" w:rsidP="00172DB8">
      <w:pPr>
        <w:pStyle w:val="ListParagraph"/>
        <w:spacing w:line="240" w:lineRule="auto"/>
        <w:ind w:hanging="360"/>
      </w:pPr>
    </w:p>
    <w:p w:rsidR="00F4121C" w:rsidRPr="0092468E" w:rsidRDefault="00F4121C" w:rsidP="00172DB8">
      <w:pPr>
        <w:pStyle w:val="ListParagraph"/>
        <w:numPr>
          <w:ilvl w:val="0"/>
          <w:numId w:val="1"/>
        </w:numPr>
        <w:autoSpaceDE w:val="0"/>
        <w:autoSpaceDN w:val="0"/>
        <w:adjustRightInd w:val="0"/>
        <w:spacing w:line="240" w:lineRule="auto"/>
        <w:ind w:left="720" w:hanging="360"/>
      </w:pPr>
      <w:r>
        <w:t>The MPCA finds that the petitioners</w:t>
      </w:r>
      <w:r w:rsidR="006A211A">
        <w:t>’</w:t>
      </w:r>
      <w:r>
        <w:t xml:space="preserve"> matters of concern related to Little Rock </w:t>
      </w:r>
      <w:r w:rsidRPr="0098247E">
        <w:rPr>
          <w:u w:val="single"/>
        </w:rPr>
        <w:t>Lake</w:t>
      </w:r>
      <w:r>
        <w:t xml:space="preserve"> do not relate to the matter pending </w:t>
      </w:r>
      <w:r w:rsidR="006F5E96" w:rsidRPr="001F123C">
        <w:rPr>
          <w:rFonts w:eastAsia="Times New Roman" w:cs="Times New Roman"/>
        </w:rPr>
        <w:t>before the commissioner</w:t>
      </w:r>
      <w:r w:rsidR="00255E23">
        <w:rPr>
          <w:rFonts w:eastAsia="Times New Roman" w:cs="Times New Roman"/>
        </w:rPr>
        <w:t xml:space="preserve"> as required by </w:t>
      </w:r>
      <w:proofErr w:type="spellStart"/>
      <w:r w:rsidR="00255E23">
        <w:rPr>
          <w:rFonts w:eastAsia="Times New Roman" w:cs="Times New Roman"/>
        </w:rPr>
        <w:t>Minn</w:t>
      </w:r>
      <w:proofErr w:type="spellEnd"/>
      <w:r w:rsidR="00255E23">
        <w:rPr>
          <w:rFonts w:eastAsia="Times New Roman" w:cs="Times New Roman"/>
        </w:rPr>
        <w:t xml:space="preserve"> R. 7000.1900 </w:t>
      </w:r>
      <w:proofErr w:type="spellStart"/>
      <w:r w:rsidR="00255E23">
        <w:rPr>
          <w:rFonts w:eastAsia="Times New Roman" w:cs="Times New Roman"/>
        </w:rPr>
        <w:t>subp</w:t>
      </w:r>
      <w:proofErr w:type="spellEnd"/>
      <w:r w:rsidR="00255E23">
        <w:rPr>
          <w:rFonts w:eastAsia="Times New Roman" w:cs="Times New Roman"/>
        </w:rPr>
        <w:t>. 1 A</w:t>
      </w:r>
      <w:r w:rsidR="006F5E96">
        <w:rPr>
          <w:rFonts w:eastAsia="Times New Roman" w:cs="Times New Roman"/>
        </w:rPr>
        <w:t>, because the matter pending is the Little Rock Creek TMDL</w:t>
      </w:r>
      <w:r w:rsidR="001F4AF6">
        <w:rPr>
          <w:rFonts w:eastAsia="Times New Roman" w:cs="Times New Roman"/>
        </w:rPr>
        <w:t xml:space="preserve"> and its </w:t>
      </w:r>
      <w:r w:rsidR="006F5E96">
        <w:rPr>
          <w:rFonts w:eastAsia="Times New Roman" w:cs="Times New Roman"/>
        </w:rPr>
        <w:t xml:space="preserve">project area does not include Little Rock </w:t>
      </w:r>
      <w:r w:rsidR="006F5E96" w:rsidRPr="00B665B5">
        <w:rPr>
          <w:rFonts w:eastAsia="Times New Roman" w:cs="Times New Roman"/>
          <w:u w:val="single"/>
        </w:rPr>
        <w:t>Lake</w:t>
      </w:r>
      <w:r w:rsidR="006F5E96">
        <w:rPr>
          <w:rFonts w:eastAsia="Times New Roman" w:cs="Times New Roman"/>
        </w:rPr>
        <w:t>.</w:t>
      </w:r>
    </w:p>
    <w:p w:rsidR="0092468E" w:rsidRDefault="0092468E" w:rsidP="00172DB8">
      <w:pPr>
        <w:pStyle w:val="ListParagraph"/>
        <w:spacing w:line="240" w:lineRule="auto"/>
        <w:ind w:hanging="360"/>
      </w:pPr>
    </w:p>
    <w:p w:rsidR="007D102F" w:rsidRPr="001931B4" w:rsidRDefault="007D102F" w:rsidP="007D102F">
      <w:pPr>
        <w:pStyle w:val="ListParagraph"/>
        <w:spacing w:line="240" w:lineRule="auto"/>
        <w:ind w:left="1080"/>
        <w:rPr>
          <w:rFonts w:eastAsia="Times New Roman" w:cs="Times New Roman"/>
          <w:b/>
          <w:i/>
        </w:rPr>
      </w:pPr>
      <w:r>
        <w:rPr>
          <w:rFonts w:eastAsia="Times New Roman" w:cs="Times New Roman"/>
          <w:b/>
          <w:i/>
        </w:rPr>
        <w:t xml:space="preserve">The CCH A and CCH B petitions’ assertion that meeting the </w:t>
      </w:r>
      <w:proofErr w:type="gramStart"/>
      <w:r>
        <w:rPr>
          <w:rFonts w:eastAsia="Times New Roman" w:cs="Times New Roman"/>
          <w:b/>
          <w:i/>
        </w:rPr>
        <w:t>nitrate water quality standard</w:t>
      </w:r>
      <w:proofErr w:type="gramEnd"/>
      <w:r>
        <w:rPr>
          <w:rFonts w:eastAsia="Times New Roman" w:cs="Times New Roman"/>
          <w:b/>
          <w:i/>
        </w:rPr>
        <w:t xml:space="preserve"> in the Little Rock </w:t>
      </w:r>
      <w:r w:rsidRPr="00C82E31">
        <w:rPr>
          <w:rFonts w:eastAsia="Times New Roman" w:cs="Times New Roman"/>
          <w:b/>
          <w:i/>
          <w:u w:val="single"/>
        </w:rPr>
        <w:t>Creek</w:t>
      </w:r>
      <w:r>
        <w:rPr>
          <w:rFonts w:eastAsia="Times New Roman" w:cs="Times New Roman"/>
          <w:b/>
          <w:i/>
        </w:rPr>
        <w:t xml:space="preserve"> TMDL will decrease nitrate loading in Little Rock </w:t>
      </w:r>
      <w:r w:rsidRPr="00C82E31">
        <w:rPr>
          <w:rFonts w:eastAsia="Times New Roman" w:cs="Times New Roman"/>
          <w:b/>
          <w:i/>
          <w:u w:val="single"/>
        </w:rPr>
        <w:t>Lake</w:t>
      </w:r>
      <w:r>
        <w:rPr>
          <w:rFonts w:eastAsia="Times New Roman" w:cs="Times New Roman"/>
          <w:b/>
          <w:i/>
        </w:rPr>
        <w:t xml:space="preserve"> is not a disputed fact</w:t>
      </w:r>
    </w:p>
    <w:p w:rsidR="007D102F" w:rsidRPr="005C4559" w:rsidRDefault="007D102F" w:rsidP="007D102F">
      <w:pPr>
        <w:pStyle w:val="ListParagraph"/>
        <w:spacing w:line="240" w:lineRule="auto"/>
        <w:rPr>
          <w:rFonts w:eastAsia="Times New Roman" w:cs="Times New Roman"/>
        </w:rPr>
      </w:pPr>
    </w:p>
    <w:p w:rsidR="007D102F" w:rsidRPr="005E0E82" w:rsidRDefault="007D102F" w:rsidP="007D102F">
      <w:pPr>
        <w:pStyle w:val="ListParagraph"/>
        <w:numPr>
          <w:ilvl w:val="0"/>
          <w:numId w:val="1"/>
        </w:numPr>
        <w:spacing w:line="240" w:lineRule="auto"/>
        <w:ind w:left="720" w:hanging="360"/>
        <w:rPr>
          <w:rFonts w:eastAsia="Times New Roman" w:cs="Times New Roman"/>
        </w:rPr>
      </w:pPr>
      <w:r>
        <w:rPr>
          <w:rFonts w:eastAsia="Times New Roman" w:cs="Times New Roman"/>
        </w:rPr>
        <w:t>P</w:t>
      </w:r>
      <w:r w:rsidRPr="005C4559">
        <w:rPr>
          <w:rFonts w:eastAsia="Times New Roman" w:cs="Times New Roman"/>
        </w:rPr>
        <w:t xml:space="preserve">etitioners </w:t>
      </w:r>
      <w:r>
        <w:rPr>
          <w:rFonts w:eastAsia="Times New Roman" w:cs="Times New Roman"/>
        </w:rPr>
        <w:t xml:space="preserve">CCH A and CCH B also </w:t>
      </w:r>
      <w:r w:rsidRPr="005C4559">
        <w:rPr>
          <w:rFonts w:eastAsia="Times New Roman" w:cs="Times New Roman"/>
        </w:rPr>
        <w:t>claim that</w:t>
      </w:r>
      <w:r>
        <w:rPr>
          <w:rFonts w:eastAsia="Times New Roman" w:cs="Times New Roman"/>
        </w:rPr>
        <w:t xml:space="preserve"> blue-green</w:t>
      </w:r>
      <w:r w:rsidRPr="005C4559">
        <w:rPr>
          <w:rFonts w:eastAsia="Times New Roman" w:cs="Times New Roman"/>
        </w:rPr>
        <w:t xml:space="preserve"> algae</w:t>
      </w:r>
      <w:r>
        <w:rPr>
          <w:rFonts w:eastAsia="Times New Roman" w:cs="Times New Roman"/>
        </w:rPr>
        <w:t xml:space="preserve"> </w:t>
      </w:r>
      <w:proofErr w:type="gramStart"/>
      <w:r>
        <w:rPr>
          <w:rFonts w:eastAsia="Times New Roman" w:cs="Times New Roman"/>
        </w:rPr>
        <w:t>will be increased</w:t>
      </w:r>
      <w:proofErr w:type="gramEnd"/>
      <w:r>
        <w:rPr>
          <w:rFonts w:eastAsia="Times New Roman" w:cs="Times New Roman"/>
        </w:rPr>
        <w:t xml:space="preserve"> in Little Rock </w:t>
      </w:r>
      <w:r w:rsidRPr="00F86830">
        <w:rPr>
          <w:rFonts w:eastAsia="Times New Roman" w:cs="Times New Roman"/>
          <w:u w:val="single"/>
        </w:rPr>
        <w:t>Lake</w:t>
      </w:r>
      <w:r>
        <w:rPr>
          <w:rFonts w:eastAsia="Times New Roman" w:cs="Times New Roman"/>
        </w:rPr>
        <w:t xml:space="preserve"> </w:t>
      </w:r>
      <w:r w:rsidRPr="005C4559">
        <w:rPr>
          <w:rFonts w:eastAsia="Times New Roman" w:cs="Times New Roman"/>
        </w:rPr>
        <w:t>if nitrates are reduced</w:t>
      </w:r>
      <w:r>
        <w:rPr>
          <w:rFonts w:eastAsia="Times New Roman" w:cs="Times New Roman"/>
        </w:rPr>
        <w:t xml:space="preserve"> in Little Rock Creek</w:t>
      </w:r>
      <w:r w:rsidRPr="005C4559">
        <w:rPr>
          <w:rFonts w:eastAsia="Times New Roman" w:cs="Times New Roman"/>
        </w:rPr>
        <w:t xml:space="preserve">, as is needed to meet </w:t>
      </w:r>
      <w:r>
        <w:rPr>
          <w:rFonts w:eastAsia="Times New Roman" w:cs="Times New Roman"/>
        </w:rPr>
        <w:t xml:space="preserve">the objective of the </w:t>
      </w:r>
      <w:r w:rsidRPr="005C4559">
        <w:rPr>
          <w:rFonts w:eastAsia="Times New Roman" w:cs="Times New Roman"/>
        </w:rPr>
        <w:t xml:space="preserve">Little Rock Creek </w:t>
      </w:r>
      <w:r>
        <w:rPr>
          <w:rFonts w:eastAsia="Times New Roman" w:cs="Times New Roman"/>
        </w:rPr>
        <w:t>TMDL</w:t>
      </w:r>
      <w:r w:rsidRPr="005E0E82">
        <w:rPr>
          <w:rFonts w:eastAsia="Times New Roman" w:cs="Times New Roman"/>
        </w:rPr>
        <w:t>.</w:t>
      </w:r>
    </w:p>
    <w:p w:rsidR="007D102F" w:rsidRPr="005E0E82" w:rsidRDefault="007D102F" w:rsidP="007D102F">
      <w:pPr>
        <w:pStyle w:val="ListParagraph"/>
        <w:spacing w:line="240" w:lineRule="auto"/>
        <w:ind w:hanging="360"/>
        <w:rPr>
          <w:rFonts w:eastAsia="Times New Roman" w:cs="Times New Roman"/>
        </w:rPr>
      </w:pPr>
    </w:p>
    <w:p w:rsidR="007D102F" w:rsidRDefault="007D102F" w:rsidP="007D102F">
      <w:pPr>
        <w:pStyle w:val="ListParagraph"/>
        <w:numPr>
          <w:ilvl w:val="0"/>
          <w:numId w:val="1"/>
        </w:numPr>
        <w:spacing w:line="240" w:lineRule="auto"/>
        <w:ind w:left="720" w:hanging="360"/>
      </w:pPr>
      <w:r>
        <w:t xml:space="preserve">The MPCA does not dispute the fact that when implemented, the Little Rock Creek TMDL will result in the decrease of nitrate loading downstream into Little Rock </w:t>
      </w:r>
      <w:r w:rsidRPr="00F86830">
        <w:rPr>
          <w:u w:val="single"/>
        </w:rPr>
        <w:t>Lake</w:t>
      </w:r>
      <w:r>
        <w:t xml:space="preserve">. </w:t>
      </w:r>
    </w:p>
    <w:p w:rsidR="007D102F" w:rsidRDefault="007D102F" w:rsidP="007D102F">
      <w:pPr>
        <w:spacing w:line="240" w:lineRule="auto"/>
      </w:pPr>
    </w:p>
    <w:p w:rsidR="007D102F" w:rsidRDefault="007D102F" w:rsidP="007D102F">
      <w:pPr>
        <w:pStyle w:val="ListParagraph"/>
        <w:numPr>
          <w:ilvl w:val="0"/>
          <w:numId w:val="1"/>
        </w:numPr>
        <w:spacing w:line="240" w:lineRule="auto"/>
        <w:ind w:left="720" w:hanging="360"/>
      </w:pPr>
      <w:r w:rsidRPr="005E0E82">
        <w:lastRenderedPageBreak/>
        <w:t xml:space="preserve">The MPCA does not dispute the fact that decreases in nitrates flowing in to Little Rock </w:t>
      </w:r>
      <w:r w:rsidRPr="00F86830">
        <w:rPr>
          <w:u w:val="single"/>
        </w:rPr>
        <w:t>Lake</w:t>
      </w:r>
      <w:r w:rsidRPr="005E0E82">
        <w:t xml:space="preserve"> may result in increases in </w:t>
      </w:r>
      <w:r>
        <w:t>blue-green</w:t>
      </w:r>
      <w:r w:rsidRPr="005E0E82">
        <w:t xml:space="preserve"> algae. </w:t>
      </w:r>
      <w:r>
        <w:t>The MPCA states this fact o</w:t>
      </w:r>
      <w:r w:rsidRPr="005E0E82">
        <w:t xml:space="preserve">n page 47 of the </w:t>
      </w:r>
      <w:r>
        <w:rPr>
          <w:i/>
        </w:rPr>
        <w:t xml:space="preserve">Little Rock </w:t>
      </w:r>
      <w:r w:rsidRPr="0036016C">
        <w:rPr>
          <w:i/>
          <w:u w:val="single"/>
        </w:rPr>
        <w:t>Lake</w:t>
      </w:r>
      <w:r>
        <w:rPr>
          <w:i/>
        </w:rPr>
        <w:t xml:space="preserve"> Nutrient TMDL:</w:t>
      </w:r>
      <w:r>
        <w:t xml:space="preserve"> </w:t>
      </w:r>
      <w:r w:rsidRPr="005E0E82">
        <w:t xml:space="preserve">“The predominance of </w:t>
      </w:r>
      <w:r>
        <w:t>blue-green</w:t>
      </w:r>
      <w:r w:rsidRPr="005E0E82">
        <w:t xml:space="preserve"> algae could be enhanced by decreases in summer nitrate loads</w:t>
      </w:r>
      <w:r>
        <w:t>…</w:t>
      </w:r>
      <w:r w:rsidRPr="005E0E82">
        <w:t>”</w:t>
      </w:r>
    </w:p>
    <w:p w:rsidR="007D102F" w:rsidRDefault="007D102F" w:rsidP="007D102F">
      <w:pPr>
        <w:pStyle w:val="ListParagraph"/>
        <w:spacing w:line="240" w:lineRule="auto"/>
        <w:ind w:hanging="360"/>
      </w:pPr>
    </w:p>
    <w:p w:rsidR="007D102F" w:rsidRDefault="007D102F" w:rsidP="007D102F">
      <w:pPr>
        <w:pStyle w:val="ListParagraph"/>
        <w:numPr>
          <w:ilvl w:val="0"/>
          <w:numId w:val="1"/>
        </w:numPr>
        <w:spacing w:line="240" w:lineRule="auto"/>
        <w:ind w:left="720" w:hanging="360"/>
      </w:pPr>
      <w:r w:rsidRPr="00F82F2F">
        <w:t>Cyanobacteria (also known as blue-green algae</w:t>
      </w:r>
      <w:r>
        <w:t xml:space="preserve">) </w:t>
      </w:r>
      <w:r w:rsidRPr="00F82F2F">
        <w:t>are common native algae</w:t>
      </w:r>
      <w:r>
        <w:t xml:space="preserve"> naturally occurring in lakes, ponds and rivers around the world.</w:t>
      </w:r>
      <w:r w:rsidRPr="008B4DF8">
        <w:t xml:space="preserve"> </w:t>
      </w:r>
      <w:proofErr w:type="gramStart"/>
      <w:r w:rsidRPr="008B4DF8">
        <w:t>Wetzel, Robert G.</w:t>
      </w:r>
      <w:r>
        <w:t>,</w:t>
      </w:r>
      <w:r w:rsidRPr="008B4DF8">
        <w:t xml:space="preserve"> </w:t>
      </w:r>
      <w:r w:rsidRPr="008B4DF8">
        <w:rPr>
          <w:i/>
        </w:rPr>
        <w:t>Limnology Lake and River Ecosystems</w:t>
      </w:r>
      <w:r>
        <w:t>,</w:t>
      </w:r>
      <w:r w:rsidRPr="008B4DF8">
        <w:t xml:space="preserve"> 3rd edition</w:t>
      </w:r>
      <w:r>
        <w:t>, 2001.</w:t>
      </w:r>
      <w:proofErr w:type="gramEnd"/>
      <w:r>
        <w:t xml:space="preserve"> </w:t>
      </w:r>
      <w:proofErr w:type="gramStart"/>
      <w:r>
        <w:t>Blue-green algae is</w:t>
      </w:r>
      <w:proofErr w:type="gramEnd"/>
      <w:r>
        <w:t xml:space="preserve"> not a pollutant for which a water quality standard is established.</w:t>
      </w:r>
    </w:p>
    <w:p w:rsidR="007D102F" w:rsidRDefault="007D102F" w:rsidP="007D102F">
      <w:pPr>
        <w:pStyle w:val="ListParagraph"/>
        <w:spacing w:line="240" w:lineRule="auto"/>
        <w:ind w:hanging="360"/>
      </w:pPr>
    </w:p>
    <w:p w:rsidR="007D102F" w:rsidRDefault="007D102F" w:rsidP="007D102F">
      <w:pPr>
        <w:pStyle w:val="ListParagraph"/>
        <w:numPr>
          <w:ilvl w:val="0"/>
          <w:numId w:val="1"/>
        </w:numPr>
        <w:spacing w:line="240" w:lineRule="auto"/>
        <w:ind w:left="720" w:hanging="360"/>
      </w:pPr>
      <w:r w:rsidRPr="00610C96">
        <w:t xml:space="preserve">Because the MPCA completed the Little Rock </w:t>
      </w:r>
      <w:r w:rsidRPr="00F86830">
        <w:rPr>
          <w:u w:val="single"/>
        </w:rPr>
        <w:t>Lake</w:t>
      </w:r>
      <w:r w:rsidRPr="00610C96">
        <w:t xml:space="preserve"> Nutrient TMDL prior to the Little Rock Creek TMDL, the fact that </w:t>
      </w:r>
      <w:r>
        <w:t>blue-green</w:t>
      </w:r>
      <w:r w:rsidRPr="00610C96">
        <w:t xml:space="preserve"> algae could increase in Li</w:t>
      </w:r>
      <w:r>
        <w:t xml:space="preserve">ttle Rock </w:t>
      </w:r>
      <w:r w:rsidRPr="00F86830">
        <w:rPr>
          <w:u w:val="single"/>
        </w:rPr>
        <w:t>Lake</w:t>
      </w:r>
      <w:r>
        <w:t xml:space="preserve"> if nitrates </w:t>
      </w:r>
      <w:proofErr w:type="gramStart"/>
      <w:r>
        <w:t xml:space="preserve">were </w:t>
      </w:r>
      <w:r w:rsidRPr="00610C96">
        <w:t>reduced</w:t>
      </w:r>
      <w:proofErr w:type="gramEnd"/>
      <w:r w:rsidRPr="00610C96">
        <w:t xml:space="preserve"> in Little Rock Creek was known to MPCA during the development of the Little Rock Creek TMDL. The issue of the potential for </w:t>
      </w:r>
      <w:r>
        <w:t>blue-green</w:t>
      </w:r>
      <w:r w:rsidRPr="00610C96">
        <w:t xml:space="preserve"> algae increase</w:t>
      </w:r>
      <w:r>
        <w:t>s</w:t>
      </w:r>
      <w:r w:rsidRPr="00610C96">
        <w:t xml:space="preserve"> in Little Rock </w:t>
      </w:r>
      <w:r w:rsidRPr="00F86830">
        <w:rPr>
          <w:u w:val="single"/>
        </w:rPr>
        <w:t>Lake</w:t>
      </w:r>
      <w:r w:rsidRPr="00610C96">
        <w:t xml:space="preserve"> because of decreases in nitrate loading from Little Rock Creek </w:t>
      </w:r>
      <w:proofErr w:type="gramStart"/>
      <w:r w:rsidRPr="00610C96">
        <w:t>was addressed</w:t>
      </w:r>
      <w:proofErr w:type="gramEnd"/>
      <w:r w:rsidRPr="00610C96">
        <w:t xml:space="preserve"> in the Little Rock </w:t>
      </w:r>
      <w:r w:rsidRPr="00F86830">
        <w:rPr>
          <w:u w:val="single"/>
        </w:rPr>
        <w:t>Lake</w:t>
      </w:r>
      <w:r w:rsidRPr="00610C96">
        <w:t xml:space="preserve"> TMDL.</w:t>
      </w:r>
      <w:r w:rsidR="003C2907">
        <w:t xml:space="preserve"> (Little Rock Lake TMDL at 47)</w:t>
      </w:r>
      <w:r w:rsidRPr="00610C96">
        <w:t xml:space="preserve"> Revisiting the issue of the effect of reduced nitrate loading on Little Rock </w:t>
      </w:r>
      <w:r w:rsidRPr="00F86830">
        <w:rPr>
          <w:u w:val="single"/>
        </w:rPr>
        <w:t>Lake</w:t>
      </w:r>
      <w:r w:rsidRPr="00610C96">
        <w:t xml:space="preserve"> </w:t>
      </w:r>
      <w:r>
        <w:t xml:space="preserve">did not, and </w:t>
      </w:r>
      <w:r w:rsidRPr="00610C96">
        <w:t>will not</w:t>
      </w:r>
      <w:r>
        <w:t>,</w:t>
      </w:r>
      <w:r w:rsidRPr="00610C96">
        <w:t xml:space="preserve"> result in a different conclusion for the Little Rock Creek TMDL because the fact was well known to the MPCA prior to</w:t>
      </w:r>
      <w:r>
        <w:t>, and throughout,</w:t>
      </w:r>
      <w:r w:rsidRPr="00610C96">
        <w:t xml:space="preserve"> the development of the Little Rock Creek TMDL. </w:t>
      </w:r>
    </w:p>
    <w:p w:rsidR="007D102F" w:rsidRDefault="007D102F" w:rsidP="007D102F">
      <w:pPr>
        <w:pStyle w:val="ListParagraph"/>
        <w:spacing w:line="240" w:lineRule="auto"/>
      </w:pPr>
    </w:p>
    <w:p w:rsidR="007D102F" w:rsidRPr="00D82B0E" w:rsidRDefault="007D102F" w:rsidP="007D102F">
      <w:pPr>
        <w:pStyle w:val="ListParagraph"/>
        <w:numPr>
          <w:ilvl w:val="0"/>
          <w:numId w:val="1"/>
        </w:numPr>
        <w:spacing w:line="240" w:lineRule="auto"/>
        <w:ind w:left="720" w:hanging="360"/>
      </w:pPr>
      <w:r>
        <w:t xml:space="preserve">The MPCA finds that when implemented the Little Rock Creek TMDL will result in the decrease of nitrate loading downstream into Little Rock </w:t>
      </w:r>
      <w:r w:rsidRPr="00D82B0E">
        <w:rPr>
          <w:u w:val="single"/>
        </w:rPr>
        <w:t>Lake</w:t>
      </w:r>
      <w:r>
        <w:t xml:space="preserve"> is not in dispute and </w:t>
      </w:r>
      <w:proofErr w:type="gramStart"/>
      <w:r>
        <w:t>was known</w:t>
      </w:r>
      <w:proofErr w:type="gramEnd"/>
      <w:r>
        <w:t xml:space="preserve"> to MPCA during the development of the Little Rock Creek TMDL. Therefore, petitioners </w:t>
      </w:r>
      <w:r w:rsidRPr="00D82B0E">
        <w:rPr>
          <w:rFonts w:eastAsia="Times New Roman" w:cs="Times New Roman"/>
        </w:rPr>
        <w:t xml:space="preserve">fail to state fail to show the existence of a disputed material issue of fact concerning the matter pending before the board or commissioner as required by Minn. R. 7000.1900, </w:t>
      </w:r>
      <w:proofErr w:type="spellStart"/>
      <w:r w:rsidRPr="00D82B0E">
        <w:rPr>
          <w:rFonts w:eastAsia="Times New Roman" w:cs="Times New Roman"/>
        </w:rPr>
        <w:t>subp</w:t>
      </w:r>
      <w:proofErr w:type="spellEnd"/>
      <w:r w:rsidRPr="00D82B0E">
        <w:rPr>
          <w:rFonts w:eastAsia="Times New Roman" w:cs="Times New Roman"/>
        </w:rPr>
        <w:t xml:space="preserve">. </w:t>
      </w:r>
      <w:proofErr w:type="gramStart"/>
      <w:r w:rsidRPr="00D82B0E">
        <w:rPr>
          <w:rFonts w:eastAsia="Times New Roman" w:cs="Times New Roman"/>
        </w:rPr>
        <w:t>1(A).</w:t>
      </w:r>
      <w:proofErr w:type="gramEnd"/>
      <w:r w:rsidRPr="00D82B0E">
        <w:rPr>
          <w:rFonts w:eastAsia="Times New Roman" w:cs="Times New Roman"/>
        </w:rPr>
        <w:t xml:space="preserve"> </w:t>
      </w:r>
    </w:p>
    <w:p w:rsidR="007D102F" w:rsidRDefault="007D102F" w:rsidP="00172DB8">
      <w:pPr>
        <w:pStyle w:val="ListParagraph"/>
        <w:spacing w:line="240" w:lineRule="auto"/>
        <w:ind w:hanging="360"/>
      </w:pPr>
    </w:p>
    <w:p w:rsidR="001931B4" w:rsidRPr="001931B4" w:rsidRDefault="0092468E" w:rsidP="007D102F">
      <w:pPr>
        <w:autoSpaceDE w:val="0"/>
        <w:autoSpaceDN w:val="0"/>
        <w:adjustRightInd w:val="0"/>
        <w:spacing w:line="240" w:lineRule="auto"/>
        <w:ind w:left="360"/>
        <w:rPr>
          <w:b/>
          <w:i/>
        </w:rPr>
      </w:pPr>
      <w:r w:rsidRPr="001C0173">
        <w:rPr>
          <w:b/>
          <w:i/>
        </w:rPr>
        <w:t>The MPCA also finds that, in addition to failing to state an issue that relates to the matter pending before the commissioner, the petitioners</w:t>
      </w:r>
      <w:r w:rsidR="0062451D" w:rsidRPr="001C0173">
        <w:rPr>
          <w:b/>
          <w:i/>
        </w:rPr>
        <w:t>’</w:t>
      </w:r>
      <w:r w:rsidRPr="001C0173">
        <w:rPr>
          <w:b/>
          <w:i/>
        </w:rPr>
        <w:t xml:space="preserve"> </w:t>
      </w:r>
      <w:r w:rsidR="0062451D" w:rsidRPr="001C0173">
        <w:rPr>
          <w:b/>
          <w:i/>
        </w:rPr>
        <w:t xml:space="preserve">issues </w:t>
      </w:r>
      <w:r w:rsidRPr="001C0173">
        <w:rPr>
          <w:b/>
          <w:i/>
        </w:rPr>
        <w:t xml:space="preserve">related to Little Rock </w:t>
      </w:r>
      <w:r w:rsidRPr="001C0173">
        <w:rPr>
          <w:b/>
          <w:i/>
          <w:u w:val="single"/>
        </w:rPr>
        <w:t>Lake</w:t>
      </w:r>
      <w:r w:rsidRPr="001C0173">
        <w:rPr>
          <w:b/>
          <w:i/>
        </w:rPr>
        <w:t xml:space="preserve"> fail </w:t>
      </w:r>
      <w:r w:rsidR="001F4AF6" w:rsidRPr="001C0173">
        <w:rPr>
          <w:b/>
          <w:i/>
        </w:rPr>
        <w:t xml:space="preserve">to raise a material issue of fact in dispute </w:t>
      </w:r>
      <w:r w:rsidR="001C0173" w:rsidRPr="001C0173">
        <w:rPr>
          <w:b/>
          <w:i/>
        </w:rPr>
        <w:t xml:space="preserve">as the </w:t>
      </w:r>
      <w:r w:rsidR="00B5792F">
        <w:rPr>
          <w:b/>
          <w:i/>
        </w:rPr>
        <w:t>a</w:t>
      </w:r>
      <w:r w:rsidR="001931B4">
        <w:rPr>
          <w:b/>
          <w:i/>
        </w:rPr>
        <w:t xml:space="preserve">pplicable nitrate standard </w:t>
      </w:r>
      <w:r w:rsidR="00476004">
        <w:rPr>
          <w:b/>
          <w:i/>
        </w:rPr>
        <w:t xml:space="preserve">for Little Rock Creek TMDL </w:t>
      </w:r>
      <w:r w:rsidR="001931B4">
        <w:rPr>
          <w:b/>
          <w:i/>
        </w:rPr>
        <w:t>is a matter of law, not a matter of fact</w:t>
      </w:r>
    </w:p>
    <w:p w:rsidR="001931B4" w:rsidRDefault="001931B4" w:rsidP="00172DB8">
      <w:pPr>
        <w:pStyle w:val="ListParagraph"/>
        <w:spacing w:line="240" w:lineRule="auto"/>
      </w:pPr>
    </w:p>
    <w:p w:rsidR="00035695" w:rsidRPr="00035695" w:rsidRDefault="00035695" w:rsidP="00172DB8">
      <w:pPr>
        <w:pStyle w:val="ListParagraph"/>
        <w:numPr>
          <w:ilvl w:val="0"/>
          <w:numId w:val="1"/>
        </w:numPr>
        <w:spacing w:line="240" w:lineRule="auto"/>
        <w:ind w:left="720" w:hanging="360"/>
        <w:rPr>
          <w:rFonts w:eastAsia="Times New Roman" w:cs="Times New Roman"/>
        </w:rPr>
      </w:pPr>
      <w:r w:rsidRPr="00035695">
        <w:rPr>
          <w:rFonts w:eastAsia="Times New Roman" w:cs="Times New Roman"/>
        </w:rPr>
        <w:t xml:space="preserve">The relief requested by </w:t>
      </w:r>
      <w:r w:rsidR="001C0173">
        <w:rPr>
          <w:rFonts w:eastAsia="Times New Roman" w:cs="Times New Roman"/>
        </w:rPr>
        <w:t xml:space="preserve">the </w:t>
      </w:r>
      <w:r w:rsidR="008851A0">
        <w:rPr>
          <w:rFonts w:eastAsia="Times New Roman" w:cs="Times New Roman"/>
        </w:rPr>
        <w:t>CCH A and CCH B</w:t>
      </w:r>
      <w:r w:rsidRPr="00035695">
        <w:rPr>
          <w:rFonts w:eastAsia="Times New Roman" w:cs="Times New Roman"/>
        </w:rPr>
        <w:t xml:space="preserve"> </w:t>
      </w:r>
      <w:r w:rsidR="001C0173">
        <w:rPr>
          <w:rFonts w:eastAsia="Times New Roman" w:cs="Times New Roman"/>
        </w:rPr>
        <w:t xml:space="preserve">petitions is </w:t>
      </w:r>
      <w:r w:rsidRPr="00035695">
        <w:rPr>
          <w:rFonts w:eastAsia="Times New Roman" w:cs="Times New Roman"/>
        </w:rPr>
        <w:t xml:space="preserve">to revise the Little Rock Creek TMDL to allow for nitrate loading to Little Rock Creek in excess of the </w:t>
      </w:r>
      <w:r w:rsidR="00D05368">
        <w:rPr>
          <w:rFonts w:eastAsia="Times New Roman" w:cs="Times New Roman"/>
        </w:rPr>
        <w:t xml:space="preserve">maximum </w:t>
      </w:r>
      <w:r w:rsidRPr="00035695">
        <w:rPr>
          <w:rFonts w:eastAsia="Times New Roman" w:cs="Times New Roman"/>
        </w:rPr>
        <w:t xml:space="preserve">loading required by the water quality standard for nitrate in state and federal law. </w:t>
      </w:r>
    </w:p>
    <w:p w:rsidR="00035695" w:rsidRPr="00035695" w:rsidRDefault="00035695" w:rsidP="00172DB8">
      <w:pPr>
        <w:spacing w:line="240" w:lineRule="auto"/>
        <w:ind w:left="720" w:hanging="360"/>
        <w:rPr>
          <w:rFonts w:eastAsia="Times New Roman" w:cs="Times New Roman"/>
        </w:rPr>
      </w:pPr>
    </w:p>
    <w:p w:rsidR="0063360E" w:rsidRPr="003B2FC4" w:rsidRDefault="0063360E" w:rsidP="00172DB8">
      <w:pPr>
        <w:pStyle w:val="ListParagraph"/>
        <w:numPr>
          <w:ilvl w:val="0"/>
          <w:numId w:val="1"/>
        </w:numPr>
        <w:autoSpaceDE w:val="0"/>
        <w:autoSpaceDN w:val="0"/>
        <w:adjustRightInd w:val="0"/>
        <w:spacing w:line="240" w:lineRule="auto"/>
        <w:ind w:left="720" w:hanging="360"/>
      </w:pPr>
      <w:r w:rsidRPr="001F123C">
        <w:t xml:space="preserve">Little Rock Creek is a Class 2A water </w:t>
      </w:r>
      <w:r w:rsidR="00C87DA1">
        <w:t>(</w:t>
      </w:r>
      <w:r w:rsidR="00C87DA1" w:rsidRPr="00C87DA1">
        <w:t xml:space="preserve">Minn. R. 7050.0470, </w:t>
      </w:r>
      <w:proofErr w:type="spellStart"/>
      <w:r w:rsidR="00C87DA1" w:rsidRPr="00C87DA1">
        <w:t>subp</w:t>
      </w:r>
      <w:proofErr w:type="spellEnd"/>
      <w:r w:rsidR="00C87DA1" w:rsidRPr="00C87DA1">
        <w:t xml:space="preserve">. 4, </w:t>
      </w:r>
      <w:proofErr w:type="gramStart"/>
      <w:r w:rsidR="00C87DA1" w:rsidRPr="00C87DA1">
        <w:t>A(</w:t>
      </w:r>
      <w:proofErr w:type="gramEnd"/>
      <w:r w:rsidR="00C87DA1" w:rsidRPr="00C87DA1">
        <w:t>148)</w:t>
      </w:r>
      <w:r w:rsidR="00C87DA1">
        <w:t xml:space="preserve">) </w:t>
      </w:r>
      <w:r w:rsidRPr="001F123C">
        <w:t xml:space="preserve">which </w:t>
      </w:r>
      <w:r w:rsidR="007320F5">
        <w:t xml:space="preserve">is </w:t>
      </w:r>
      <w:r w:rsidRPr="001F123C">
        <w:t>protect</w:t>
      </w:r>
      <w:r w:rsidR="007320F5">
        <w:t>ed for</w:t>
      </w:r>
      <w:r w:rsidRPr="001F123C">
        <w:t xml:space="preserve"> the following beneficial uses:</w:t>
      </w:r>
      <w:r w:rsidR="003B2FC4">
        <w:t xml:space="preserve"> </w:t>
      </w:r>
      <w:r w:rsidR="003B2FC4" w:rsidRPr="003B2FC4">
        <w:rPr>
          <w:rFonts w:eastAsia="Times New Roman" w:cs="Times New Roman"/>
          <w:i/>
        </w:rPr>
        <w:t>“</w:t>
      </w:r>
      <w:r w:rsidRPr="003B2FC4">
        <w:rPr>
          <w:rFonts w:eastAsia="Times New Roman" w:cs="Times New Roman"/>
          <w:i/>
        </w:rPr>
        <w:t>The quality of Class 2A surface waters shall be such as to permit the propagation and maintenance of a healthy community of cold water sport or commercial fish and associated aquatic life, and their habitats. These waters shall be suitable for aquatic recreation of all kinds, including bathing, for which the waters may be usable. This class of surface waters is also protected as a source of drinking wate</w:t>
      </w:r>
      <w:r w:rsidR="003B2FC4">
        <w:rPr>
          <w:rFonts w:eastAsia="Times New Roman" w:cs="Times New Roman"/>
          <w:i/>
        </w:rPr>
        <w:t>r.”</w:t>
      </w:r>
      <w:r w:rsidR="000844C3">
        <w:rPr>
          <w:rFonts w:eastAsia="Times New Roman" w:cs="Times New Roman"/>
          <w:i/>
        </w:rPr>
        <w:t xml:space="preserve"> </w:t>
      </w:r>
      <w:proofErr w:type="gramStart"/>
      <w:r w:rsidR="000844C3">
        <w:rPr>
          <w:rFonts w:eastAsia="Times New Roman" w:cs="Times New Roman"/>
        </w:rPr>
        <w:t xml:space="preserve">Minn. R. 7050.0222, </w:t>
      </w:r>
      <w:proofErr w:type="spellStart"/>
      <w:r w:rsidR="000844C3">
        <w:rPr>
          <w:rFonts w:eastAsia="Times New Roman" w:cs="Times New Roman"/>
        </w:rPr>
        <w:t>subp</w:t>
      </w:r>
      <w:proofErr w:type="spellEnd"/>
      <w:r w:rsidR="000844C3">
        <w:rPr>
          <w:rFonts w:eastAsia="Times New Roman" w:cs="Times New Roman"/>
        </w:rPr>
        <w:t>.</w:t>
      </w:r>
      <w:proofErr w:type="gramEnd"/>
      <w:r w:rsidR="000844C3">
        <w:rPr>
          <w:rFonts w:eastAsia="Times New Roman" w:cs="Times New Roman"/>
        </w:rPr>
        <w:t xml:space="preserve"> 2.</w:t>
      </w:r>
    </w:p>
    <w:p w:rsidR="0063360E" w:rsidRPr="001F123C" w:rsidRDefault="0063360E" w:rsidP="00172DB8">
      <w:pPr>
        <w:pStyle w:val="ListParagraph"/>
        <w:autoSpaceDE w:val="0"/>
        <w:autoSpaceDN w:val="0"/>
        <w:adjustRightInd w:val="0"/>
        <w:spacing w:line="240" w:lineRule="auto"/>
        <w:ind w:hanging="360"/>
      </w:pPr>
    </w:p>
    <w:p w:rsidR="00F51129" w:rsidRDefault="00F51129" w:rsidP="00172DB8">
      <w:pPr>
        <w:pStyle w:val="ListParagraph"/>
        <w:numPr>
          <w:ilvl w:val="0"/>
          <w:numId w:val="1"/>
        </w:numPr>
        <w:spacing w:line="240" w:lineRule="auto"/>
        <w:ind w:left="720" w:hanging="360"/>
        <w:rPr>
          <w:rFonts w:eastAsia="Times New Roman" w:cs="Times New Roman"/>
        </w:rPr>
      </w:pPr>
      <w:r w:rsidRPr="001F123C">
        <w:rPr>
          <w:rFonts w:eastAsia="Times New Roman" w:cs="Times New Roman"/>
        </w:rPr>
        <w:t>Little Rock Creek, which discharges via the Harris Channel upstream of St. Cloud to the Mississippi River</w:t>
      </w:r>
      <w:r w:rsidR="00B600B7">
        <w:rPr>
          <w:rFonts w:eastAsia="Times New Roman" w:cs="Times New Roman"/>
        </w:rPr>
        <w:t>,</w:t>
      </w:r>
      <w:r w:rsidRPr="001F123C">
        <w:rPr>
          <w:rFonts w:eastAsia="Times New Roman" w:cs="Times New Roman"/>
        </w:rPr>
        <w:t xml:space="preserve"> is a designated drinking water source for the cities of St. Cloud, Minneapolis and St. Paul. </w:t>
      </w:r>
      <w:r w:rsidR="00B524EA">
        <w:rPr>
          <w:rFonts w:eastAsia="Times New Roman" w:cs="Times New Roman"/>
        </w:rPr>
        <w:t xml:space="preserve">See </w:t>
      </w:r>
      <w:r w:rsidRPr="001F123C">
        <w:rPr>
          <w:rFonts w:eastAsia="Times New Roman" w:cs="Times New Roman"/>
          <w:i/>
        </w:rPr>
        <w:t xml:space="preserve">City of St. Cloud Source Water Assessment, MDH, </w:t>
      </w:r>
      <w:r w:rsidRPr="001F123C">
        <w:rPr>
          <w:rFonts w:eastAsia="Times New Roman" w:cs="Times New Roman"/>
        </w:rPr>
        <w:t>September 2001.</w:t>
      </w:r>
    </w:p>
    <w:p w:rsidR="00F51129" w:rsidRPr="00F51129" w:rsidRDefault="00F51129" w:rsidP="00172DB8">
      <w:pPr>
        <w:spacing w:line="240" w:lineRule="auto"/>
        <w:ind w:left="720" w:hanging="360"/>
        <w:rPr>
          <w:rFonts w:eastAsia="Times New Roman" w:cs="Times New Roman"/>
        </w:rPr>
      </w:pPr>
    </w:p>
    <w:p w:rsidR="0045730D" w:rsidRPr="001F123C" w:rsidRDefault="00A04E61" w:rsidP="00172DB8">
      <w:pPr>
        <w:pStyle w:val="ListParagraph"/>
        <w:numPr>
          <w:ilvl w:val="0"/>
          <w:numId w:val="1"/>
        </w:numPr>
        <w:spacing w:line="240" w:lineRule="auto"/>
        <w:ind w:left="720" w:hanging="360"/>
      </w:pPr>
      <w:r w:rsidRPr="001F123C">
        <w:t xml:space="preserve">The </w:t>
      </w:r>
      <w:r w:rsidR="00CF2068" w:rsidRPr="001F123C">
        <w:t xml:space="preserve">federal </w:t>
      </w:r>
      <w:r w:rsidRPr="001F123C">
        <w:t>Safe Drinking Water Act (SD</w:t>
      </w:r>
      <w:r w:rsidR="0045730D" w:rsidRPr="001F123C">
        <w:t>W</w:t>
      </w:r>
      <w:r w:rsidRPr="001F123C">
        <w:t xml:space="preserve">A) </w:t>
      </w:r>
      <w:r w:rsidR="00CF2068" w:rsidRPr="001F123C">
        <w:t>establishes standards to protect drinking water in the U</w:t>
      </w:r>
      <w:r w:rsidR="00DD61A0">
        <w:t>nited States</w:t>
      </w:r>
      <w:r w:rsidR="00CF2068" w:rsidRPr="001F123C">
        <w:t xml:space="preserve">. </w:t>
      </w:r>
      <w:proofErr w:type="gramStart"/>
      <w:r w:rsidR="00CF2068" w:rsidRPr="001F123C">
        <w:t>42</w:t>
      </w:r>
      <w:proofErr w:type="gramEnd"/>
      <w:r w:rsidR="00CF2068" w:rsidRPr="001F123C">
        <w:t xml:space="preserve"> U.S.C. §300</w:t>
      </w:r>
      <w:r w:rsidR="00B524EA">
        <w:t>(</w:t>
      </w:r>
      <w:r w:rsidR="00CF2068" w:rsidRPr="001F123C">
        <w:t>f</w:t>
      </w:r>
      <w:r w:rsidR="00B524EA">
        <w:t>)</w:t>
      </w:r>
      <w:r w:rsidR="00CF2068" w:rsidRPr="001F123C">
        <w:t xml:space="preserve"> et seq.</w:t>
      </w:r>
      <w:r w:rsidR="00657716" w:rsidRPr="001F123C">
        <w:t xml:space="preserve"> </w:t>
      </w:r>
      <w:r w:rsidR="0045730D" w:rsidRPr="001F123C">
        <w:t xml:space="preserve">Under the SDWA, the EPA must determine the level </w:t>
      </w:r>
      <w:r w:rsidR="0045730D" w:rsidRPr="001F123C">
        <w:lastRenderedPageBreak/>
        <w:t>of contaminants in drinking water at which no adverse health effects are likely to occur. The federal drinking water standard for nitrate is 10 milligrams per liter (mg/L) of nitrate-nitrogen in drinking water. 42 U.S.C. §300</w:t>
      </w:r>
      <w:proofErr w:type="gramStart"/>
      <w:r w:rsidR="0045730D" w:rsidRPr="001F123C">
        <w:t>( g</w:t>
      </w:r>
      <w:proofErr w:type="gramEnd"/>
      <w:r w:rsidR="0045730D" w:rsidRPr="001F123C">
        <w:t>)-(l).</w:t>
      </w:r>
    </w:p>
    <w:p w:rsidR="0045730D" w:rsidRPr="001F123C" w:rsidRDefault="0045730D" w:rsidP="00172DB8">
      <w:pPr>
        <w:pStyle w:val="ListParagraph"/>
        <w:autoSpaceDE w:val="0"/>
        <w:autoSpaceDN w:val="0"/>
        <w:adjustRightInd w:val="0"/>
        <w:spacing w:line="240" w:lineRule="auto"/>
        <w:ind w:hanging="360"/>
      </w:pPr>
    </w:p>
    <w:p w:rsidR="003C3B38" w:rsidRPr="001F123C" w:rsidRDefault="00FD367E" w:rsidP="00172DB8">
      <w:pPr>
        <w:pStyle w:val="ListParagraph"/>
        <w:numPr>
          <w:ilvl w:val="0"/>
          <w:numId w:val="1"/>
        </w:numPr>
        <w:autoSpaceDE w:val="0"/>
        <w:autoSpaceDN w:val="0"/>
        <w:adjustRightInd w:val="0"/>
        <w:spacing w:line="240" w:lineRule="auto"/>
        <w:ind w:left="720" w:hanging="360"/>
      </w:pPr>
      <w:r w:rsidRPr="001F123C">
        <w:t xml:space="preserve">The Minnesota Department of Health (MDH) implements provisions of the SWDA in Minnesota to ensure public water supplies are safe for human consumption. </w:t>
      </w:r>
      <w:r w:rsidR="0068776D" w:rsidRPr="001F123C">
        <w:t>The MDH has set a standard of 10 m</w:t>
      </w:r>
      <w:r w:rsidR="00293E35" w:rsidRPr="001F123C">
        <w:t xml:space="preserve">g/L </w:t>
      </w:r>
      <w:r w:rsidR="0068776D" w:rsidRPr="001F123C">
        <w:t>for nitrate in drinking water.</w:t>
      </w:r>
      <w:r w:rsidR="003D5E6D" w:rsidRPr="001F123C">
        <w:t xml:space="preserve"> </w:t>
      </w:r>
      <w:proofErr w:type="gramStart"/>
      <w:r w:rsidR="00150BF3">
        <w:t xml:space="preserve">Minn. R. </w:t>
      </w:r>
      <w:r w:rsidR="003D5E6D" w:rsidRPr="001F123C">
        <w:t xml:space="preserve">4717.7860, </w:t>
      </w:r>
      <w:proofErr w:type="spellStart"/>
      <w:r w:rsidR="003D5E6D" w:rsidRPr="001F123C">
        <w:t>subp</w:t>
      </w:r>
      <w:proofErr w:type="spellEnd"/>
      <w:r w:rsidR="003D5E6D" w:rsidRPr="001F123C">
        <w:t>.</w:t>
      </w:r>
      <w:proofErr w:type="gramEnd"/>
      <w:r w:rsidR="003D5E6D" w:rsidRPr="001F123C">
        <w:t xml:space="preserve"> 13.</w:t>
      </w:r>
    </w:p>
    <w:p w:rsidR="003C3B38" w:rsidRPr="001F123C" w:rsidRDefault="003C3B38" w:rsidP="00172DB8">
      <w:pPr>
        <w:pStyle w:val="ListParagraph"/>
        <w:spacing w:line="240" w:lineRule="auto"/>
        <w:ind w:hanging="360"/>
        <w:rPr>
          <w:rFonts w:eastAsia="Times New Roman" w:cs="Times New Roman"/>
        </w:rPr>
      </w:pPr>
    </w:p>
    <w:p w:rsidR="003C3B38" w:rsidRPr="001F123C" w:rsidRDefault="003C3B38" w:rsidP="00172DB8">
      <w:pPr>
        <w:pStyle w:val="ListParagraph"/>
        <w:numPr>
          <w:ilvl w:val="0"/>
          <w:numId w:val="1"/>
        </w:numPr>
        <w:autoSpaceDE w:val="0"/>
        <w:autoSpaceDN w:val="0"/>
        <w:adjustRightInd w:val="0"/>
        <w:spacing w:line="240" w:lineRule="auto"/>
        <w:ind w:left="720" w:hanging="360"/>
      </w:pPr>
      <w:r w:rsidRPr="001F123C">
        <w:rPr>
          <w:rFonts w:eastAsia="Times New Roman" w:cs="Times New Roman"/>
        </w:rPr>
        <w:t xml:space="preserve">The federal and state nitrate standards are set to be protective of human health. Drinking water with nitrate levels above 10 mg/L can cause </w:t>
      </w:r>
      <w:proofErr w:type="spellStart"/>
      <w:r w:rsidRPr="001F123C">
        <w:rPr>
          <w:rFonts w:cs="Times New Roman"/>
          <w:lang w:val="en"/>
        </w:rPr>
        <w:t>methemoglobinemia</w:t>
      </w:r>
      <w:proofErr w:type="spellEnd"/>
      <w:r w:rsidRPr="001F123C">
        <w:rPr>
          <w:rFonts w:cs="Times New Roman"/>
          <w:lang w:val="en"/>
        </w:rPr>
        <w:t xml:space="preserve"> and lead to death. Infants under six (6) months of age and pregnant women are especially susceptible to high levels of nitrates.</w:t>
      </w:r>
    </w:p>
    <w:p w:rsidR="0045730D" w:rsidRPr="001F123C" w:rsidRDefault="0045730D" w:rsidP="00172DB8">
      <w:pPr>
        <w:pStyle w:val="ListParagraph"/>
        <w:spacing w:line="240" w:lineRule="auto"/>
        <w:ind w:hanging="360"/>
      </w:pPr>
    </w:p>
    <w:p w:rsidR="0045730D" w:rsidRPr="001F123C" w:rsidRDefault="003C3B38" w:rsidP="00172DB8">
      <w:pPr>
        <w:pStyle w:val="ListParagraph"/>
        <w:numPr>
          <w:ilvl w:val="0"/>
          <w:numId w:val="1"/>
        </w:numPr>
        <w:autoSpaceDE w:val="0"/>
        <w:autoSpaceDN w:val="0"/>
        <w:adjustRightInd w:val="0"/>
        <w:spacing w:line="240" w:lineRule="auto"/>
        <w:ind w:left="720" w:hanging="360"/>
      </w:pPr>
      <w:r w:rsidRPr="001F123C">
        <w:t xml:space="preserve">When assessing a waterbody for impairments, the </w:t>
      </w:r>
      <w:r w:rsidR="0045730D" w:rsidRPr="001F123C">
        <w:t xml:space="preserve">CWA </w:t>
      </w:r>
      <w:r w:rsidRPr="001F123C">
        <w:t xml:space="preserve">requires the MPCA </w:t>
      </w:r>
      <w:r w:rsidR="0045730D" w:rsidRPr="001F123C">
        <w:t xml:space="preserve">to apply standards set by the state to </w:t>
      </w:r>
      <w:r w:rsidRPr="001F123C">
        <w:t xml:space="preserve">protect </w:t>
      </w:r>
      <w:r w:rsidR="0045730D" w:rsidRPr="001F123C">
        <w:t xml:space="preserve">the designated use </w:t>
      </w:r>
      <w:r w:rsidRPr="001F123C">
        <w:t>classification for the waterbody</w:t>
      </w:r>
      <w:r w:rsidR="0045730D" w:rsidRPr="001F123C">
        <w:t xml:space="preserve">. </w:t>
      </w:r>
      <w:proofErr w:type="gramStart"/>
      <w:r w:rsidR="0045730D" w:rsidRPr="001F123C">
        <w:t>33</w:t>
      </w:r>
      <w:proofErr w:type="gramEnd"/>
      <w:r w:rsidR="0045730D" w:rsidRPr="001F123C">
        <w:t xml:space="preserve"> U.S.C. §1313 </w:t>
      </w:r>
      <w:r w:rsidR="007B601F" w:rsidRPr="001F123C">
        <w:t>(a)-</w:t>
      </w:r>
      <w:r w:rsidR="0045730D" w:rsidRPr="001F123C">
        <w:t>(c).</w:t>
      </w:r>
      <w:r w:rsidR="007B601F" w:rsidRPr="001F123C">
        <w:t xml:space="preserve"> The MPCA uses the MDH standard of 10 milligrams per liter for nitrate in Class 2A waters protected for drinking water beneficial uses. Minn. R. 7050.</w:t>
      </w:r>
      <w:r w:rsidR="007600D8" w:rsidRPr="001F123C">
        <w:t>0220.</w:t>
      </w:r>
      <w:r w:rsidR="00AF7398" w:rsidRPr="001F123C">
        <w:t xml:space="preserve">subp. </w:t>
      </w:r>
      <w:proofErr w:type="gramStart"/>
      <w:r w:rsidR="00AF7398" w:rsidRPr="001F123C">
        <w:t>3a(</w:t>
      </w:r>
      <w:proofErr w:type="gramEnd"/>
      <w:r w:rsidR="00AF7398" w:rsidRPr="001F123C">
        <w:t>18).</w:t>
      </w:r>
    </w:p>
    <w:p w:rsidR="003C3B38" w:rsidRPr="001F123C" w:rsidRDefault="003C3B38" w:rsidP="00172DB8">
      <w:pPr>
        <w:pStyle w:val="ListParagraph"/>
        <w:spacing w:line="240" w:lineRule="auto"/>
        <w:ind w:hanging="360"/>
      </w:pPr>
    </w:p>
    <w:p w:rsidR="0012023C" w:rsidRDefault="00BD4205" w:rsidP="00172DB8">
      <w:pPr>
        <w:pStyle w:val="ListParagraph"/>
        <w:numPr>
          <w:ilvl w:val="0"/>
          <w:numId w:val="1"/>
        </w:numPr>
        <w:spacing w:line="240" w:lineRule="auto"/>
        <w:ind w:left="720" w:hanging="360"/>
        <w:rPr>
          <w:rFonts w:eastAsia="Times New Roman" w:cs="Times New Roman"/>
        </w:rPr>
      </w:pPr>
      <w:r>
        <w:rPr>
          <w:rFonts w:eastAsia="Times New Roman" w:cs="Times New Roman"/>
        </w:rPr>
        <w:t>Since</w:t>
      </w:r>
      <w:r w:rsidR="00D274C4" w:rsidRPr="001F123C">
        <w:rPr>
          <w:rFonts w:eastAsia="Times New Roman" w:cs="Times New Roman"/>
        </w:rPr>
        <w:t xml:space="preserve"> Little Rock Creek </w:t>
      </w:r>
      <w:r w:rsidR="0008165F">
        <w:rPr>
          <w:rFonts w:eastAsia="Times New Roman" w:cs="Times New Roman"/>
        </w:rPr>
        <w:t xml:space="preserve">and Bunker Hill Creek are </w:t>
      </w:r>
      <w:r w:rsidR="00D274C4" w:rsidRPr="001F123C">
        <w:rPr>
          <w:rFonts w:eastAsia="Times New Roman" w:cs="Times New Roman"/>
        </w:rPr>
        <w:t>Class 2A water</w:t>
      </w:r>
      <w:r w:rsidR="0008165F">
        <w:rPr>
          <w:rFonts w:eastAsia="Times New Roman" w:cs="Times New Roman"/>
        </w:rPr>
        <w:t>s</w:t>
      </w:r>
      <w:r w:rsidR="00D274C4" w:rsidRPr="001F123C">
        <w:rPr>
          <w:rFonts w:eastAsia="Times New Roman" w:cs="Times New Roman"/>
        </w:rPr>
        <w:t xml:space="preserve"> protected as a drinking water source</w:t>
      </w:r>
      <w:r w:rsidR="00587F3E">
        <w:rPr>
          <w:rFonts w:eastAsia="Times New Roman" w:cs="Times New Roman"/>
        </w:rPr>
        <w:t>s</w:t>
      </w:r>
      <w:r w:rsidR="00D274C4" w:rsidRPr="001F123C">
        <w:rPr>
          <w:rFonts w:eastAsia="Times New Roman" w:cs="Times New Roman"/>
        </w:rPr>
        <w:t>, t</w:t>
      </w:r>
      <w:r w:rsidR="0012023C" w:rsidRPr="001F123C">
        <w:rPr>
          <w:rFonts w:eastAsia="Times New Roman" w:cs="Times New Roman"/>
        </w:rPr>
        <w:t xml:space="preserve">he MPCA finds that it is a matter of law that the nitrate standard applicable to the Little Rock Creek TMDL is 10 </w:t>
      </w:r>
      <w:r w:rsidR="00D274C4" w:rsidRPr="001F123C">
        <w:rPr>
          <w:rFonts w:eastAsia="Times New Roman" w:cs="Times New Roman"/>
        </w:rPr>
        <w:t>mg/L</w:t>
      </w:r>
      <w:r w:rsidR="0012023C" w:rsidRPr="001F123C">
        <w:rPr>
          <w:rFonts w:eastAsia="Times New Roman" w:cs="Times New Roman"/>
        </w:rPr>
        <w:t xml:space="preserve"> because the MDH has established this standard as protective of human health. The MPCA has no discretion to </w:t>
      </w:r>
      <w:r w:rsidR="00035695">
        <w:rPr>
          <w:rFonts w:eastAsia="Times New Roman" w:cs="Times New Roman"/>
        </w:rPr>
        <w:t xml:space="preserve">apply a </w:t>
      </w:r>
      <w:r w:rsidR="0012023C" w:rsidRPr="001F123C">
        <w:rPr>
          <w:rFonts w:eastAsia="Times New Roman" w:cs="Times New Roman"/>
        </w:rPr>
        <w:t xml:space="preserve">standard </w:t>
      </w:r>
      <w:r w:rsidR="00035695">
        <w:rPr>
          <w:rFonts w:eastAsia="Times New Roman" w:cs="Times New Roman"/>
        </w:rPr>
        <w:t xml:space="preserve">that exceeds the standard </w:t>
      </w:r>
      <w:r w:rsidR="0012023C" w:rsidRPr="001F123C">
        <w:rPr>
          <w:rFonts w:eastAsia="Times New Roman" w:cs="Times New Roman"/>
        </w:rPr>
        <w:t xml:space="preserve">established by the MDH and MPCA must apply that standard as the objective of the Little Rock Creek TMDL. </w:t>
      </w:r>
    </w:p>
    <w:p w:rsidR="00E11C92" w:rsidRDefault="00E11C92" w:rsidP="00172DB8">
      <w:pPr>
        <w:pStyle w:val="ListParagraph"/>
        <w:spacing w:line="240" w:lineRule="auto"/>
        <w:ind w:hanging="360"/>
        <w:rPr>
          <w:rFonts w:eastAsia="Times New Roman" w:cs="Times New Roman"/>
        </w:rPr>
      </w:pPr>
    </w:p>
    <w:p w:rsidR="007245F3" w:rsidRDefault="00AB3D33" w:rsidP="007245F3">
      <w:pPr>
        <w:pStyle w:val="ListParagraph"/>
        <w:numPr>
          <w:ilvl w:val="0"/>
          <w:numId w:val="1"/>
        </w:numPr>
        <w:spacing w:line="240" w:lineRule="auto"/>
        <w:ind w:left="720" w:hanging="360"/>
        <w:rPr>
          <w:rFonts w:eastAsia="Times New Roman" w:cs="Times New Roman"/>
        </w:rPr>
      </w:pPr>
      <w:r>
        <w:rPr>
          <w:rFonts w:eastAsia="Times New Roman" w:cs="Times New Roman"/>
        </w:rPr>
        <w:t xml:space="preserve">MPCA assessments clearly show </w:t>
      </w:r>
      <w:r w:rsidR="00E11C92" w:rsidRPr="001D30E9">
        <w:rPr>
          <w:rFonts w:eastAsia="Times New Roman" w:cs="Times New Roman"/>
        </w:rPr>
        <w:t>both Little Rock Creek and Bunker Hill Creek exceed</w:t>
      </w:r>
      <w:r w:rsidR="0028236B">
        <w:rPr>
          <w:rFonts w:eastAsia="Times New Roman" w:cs="Times New Roman"/>
        </w:rPr>
        <w:t>ed</w:t>
      </w:r>
      <w:r w:rsidR="00E11C92" w:rsidRPr="001D30E9">
        <w:rPr>
          <w:rFonts w:eastAsia="Times New Roman" w:cs="Times New Roman"/>
        </w:rPr>
        <w:t xml:space="preserve"> </w:t>
      </w:r>
      <w:r w:rsidRPr="001D30E9">
        <w:rPr>
          <w:rFonts w:eastAsia="Times New Roman" w:cs="Times New Roman"/>
        </w:rPr>
        <w:t xml:space="preserve">the state and federal human health nitrate standards of 10 mg/L, </w:t>
      </w:r>
      <w:r w:rsidR="00E11C92" w:rsidRPr="001D30E9">
        <w:rPr>
          <w:rFonts w:eastAsia="Times New Roman" w:cs="Times New Roman"/>
        </w:rPr>
        <w:t xml:space="preserve">and therefore, </w:t>
      </w:r>
      <w:r w:rsidR="00E11C92">
        <w:rPr>
          <w:rFonts w:eastAsia="Times New Roman" w:cs="Times New Roman"/>
        </w:rPr>
        <w:t xml:space="preserve">are </w:t>
      </w:r>
      <w:r w:rsidR="00E11C92" w:rsidRPr="001D30E9">
        <w:rPr>
          <w:rFonts w:eastAsia="Times New Roman" w:cs="Times New Roman"/>
        </w:rPr>
        <w:t>included on the federal 303(d) list as impaired for nitrate in drinking water.</w:t>
      </w:r>
    </w:p>
    <w:p w:rsidR="007245F3" w:rsidRPr="007245F3" w:rsidRDefault="007245F3" w:rsidP="007245F3">
      <w:pPr>
        <w:pStyle w:val="ListParagraph"/>
        <w:rPr>
          <w:rFonts w:eastAsia="Times New Roman" w:cs="Times New Roman"/>
        </w:rPr>
      </w:pPr>
    </w:p>
    <w:p w:rsidR="005C4559" w:rsidRPr="007245F3" w:rsidRDefault="00E12999" w:rsidP="007245F3">
      <w:pPr>
        <w:pStyle w:val="ListParagraph"/>
        <w:numPr>
          <w:ilvl w:val="0"/>
          <w:numId w:val="1"/>
        </w:numPr>
        <w:spacing w:line="240" w:lineRule="auto"/>
        <w:ind w:left="720" w:hanging="360"/>
        <w:rPr>
          <w:rFonts w:eastAsia="Times New Roman" w:cs="Times New Roman"/>
        </w:rPr>
      </w:pPr>
      <w:r>
        <w:rPr>
          <w:rFonts w:eastAsia="Times New Roman" w:cs="Times New Roman"/>
        </w:rPr>
        <w:t xml:space="preserve">Regarding the CCH A and CCH B </w:t>
      </w:r>
      <w:r w:rsidR="007245F3" w:rsidRPr="007245F3">
        <w:rPr>
          <w:rFonts w:eastAsia="Times New Roman" w:cs="Times New Roman"/>
        </w:rPr>
        <w:t>petitions’ matter of concern related to the applicable nitrate standard for the Little Rock Creek TMDL, the MPCA finds that the petitions fail to show the existence of a disputed material issue of fact concerning the matter pending before the board or commissioner.</w:t>
      </w:r>
      <w:r w:rsidR="007245F3">
        <w:rPr>
          <w:rFonts w:eastAsia="Times New Roman" w:cs="Times New Roman"/>
        </w:rPr>
        <w:t xml:space="preserve"> </w:t>
      </w:r>
      <w:r w:rsidR="00EF6B02" w:rsidRPr="007245F3">
        <w:rPr>
          <w:rFonts w:eastAsia="Times New Roman" w:cs="Times New Roman"/>
        </w:rPr>
        <w:t>The petition</w:t>
      </w:r>
      <w:r w:rsidR="00D274C4" w:rsidRPr="007245F3">
        <w:rPr>
          <w:rFonts w:eastAsia="Times New Roman" w:cs="Times New Roman"/>
        </w:rPr>
        <w:t>er</w:t>
      </w:r>
      <w:r w:rsidR="00EF6B02" w:rsidRPr="007245F3">
        <w:rPr>
          <w:rFonts w:eastAsia="Times New Roman" w:cs="Times New Roman"/>
        </w:rPr>
        <w:t>s instead</w:t>
      </w:r>
      <w:r w:rsidR="00703860" w:rsidRPr="007245F3">
        <w:rPr>
          <w:rFonts w:eastAsia="Times New Roman" w:cs="Times New Roman"/>
        </w:rPr>
        <w:t xml:space="preserve"> dispute a matter of law</w:t>
      </w:r>
      <w:r w:rsidR="00377FAF" w:rsidRPr="007245F3">
        <w:rPr>
          <w:rFonts w:eastAsia="Times New Roman" w:cs="Times New Roman"/>
        </w:rPr>
        <w:t xml:space="preserve"> (i.e., the applicable nitrate water quality standard)</w:t>
      </w:r>
      <w:r w:rsidR="006E43DC" w:rsidRPr="007245F3">
        <w:rPr>
          <w:rFonts w:eastAsia="Times New Roman" w:cs="Times New Roman"/>
        </w:rPr>
        <w:t>, and therefore</w:t>
      </w:r>
      <w:r>
        <w:rPr>
          <w:rFonts w:eastAsia="Times New Roman" w:cs="Times New Roman"/>
        </w:rPr>
        <w:t>,</w:t>
      </w:r>
      <w:r w:rsidR="006E43DC" w:rsidRPr="007245F3">
        <w:rPr>
          <w:rFonts w:eastAsia="Times New Roman" w:cs="Times New Roman"/>
        </w:rPr>
        <w:t xml:space="preserve"> fail to meet </w:t>
      </w:r>
      <w:r w:rsidR="00EF6B02" w:rsidRPr="007245F3">
        <w:rPr>
          <w:rFonts w:eastAsia="Times New Roman" w:cs="Times New Roman"/>
        </w:rPr>
        <w:t xml:space="preserve">the criterion of Minn. R. 7000.1900, </w:t>
      </w:r>
      <w:proofErr w:type="spellStart"/>
      <w:r w:rsidR="00EF6B02" w:rsidRPr="007245F3">
        <w:rPr>
          <w:rFonts w:eastAsia="Times New Roman" w:cs="Times New Roman"/>
        </w:rPr>
        <w:t>subp</w:t>
      </w:r>
      <w:proofErr w:type="spellEnd"/>
      <w:r w:rsidR="00EF6B02" w:rsidRPr="007245F3">
        <w:rPr>
          <w:rFonts w:eastAsia="Times New Roman" w:cs="Times New Roman"/>
        </w:rPr>
        <w:t>. 1</w:t>
      </w:r>
      <w:r w:rsidR="00AD19AF" w:rsidRPr="007245F3">
        <w:rPr>
          <w:rFonts w:eastAsia="Times New Roman" w:cs="Times New Roman"/>
        </w:rPr>
        <w:t>(</w:t>
      </w:r>
      <w:r w:rsidR="00EF6B02" w:rsidRPr="007245F3">
        <w:rPr>
          <w:rFonts w:eastAsia="Times New Roman" w:cs="Times New Roman"/>
        </w:rPr>
        <w:t>A</w:t>
      </w:r>
      <w:r w:rsidR="00AD19AF" w:rsidRPr="007245F3">
        <w:rPr>
          <w:rFonts w:eastAsia="Times New Roman" w:cs="Times New Roman"/>
        </w:rPr>
        <w:t>)</w:t>
      </w:r>
      <w:r w:rsidR="00EF6B02" w:rsidRPr="007245F3">
        <w:rPr>
          <w:rFonts w:eastAsia="Times New Roman" w:cs="Times New Roman"/>
        </w:rPr>
        <w:t xml:space="preserve"> </w:t>
      </w:r>
      <w:r w:rsidR="005D5556" w:rsidRPr="007245F3">
        <w:rPr>
          <w:rFonts w:eastAsia="Times New Roman" w:cs="Times New Roman"/>
        </w:rPr>
        <w:t xml:space="preserve">that </w:t>
      </w:r>
      <w:r w:rsidR="006E43DC" w:rsidRPr="007245F3">
        <w:rPr>
          <w:rFonts w:eastAsia="Times New Roman" w:cs="Times New Roman"/>
        </w:rPr>
        <w:t>requires th</w:t>
      </w:r>
      <w:r>
        <w:rPr>
          <w:rFonts w:eastAsia="Times New Roman" w:cs="Times New Roman"/>
        </w:rPr>
        <w:t>at</w:t>
      </w:r>
      <w:r w:rsidR="006E43DC" w:rsidRPr="007245F3">
        <w:rPr>
          <w:rFonts w:eastAsia="Times New Roman" w:cs="Times New Roman"/>
        </w:rPr>
        <w:t xml:space="preserve"> petitions state a disputed material issue of fact. </w:t>
      </w:r>
    </w:p>
    <w:p w:rsidR="00DC36EF" w:rsidRDefault="00DC36EF" w:rsidP="00172DB8">
      <w:pPr>
        <w:spacing w:line="240" w:lineRule="auto"/>
        <w:rPr>
          <w:rFonts w:eastAsia="Times New Roman" w:cs="Times New Roman"/>
        </w:rPr>
      </w:pPr>
    </w:p>
    <w:p w:rsidR="003C066F" w:rsidRPr="001F123C" w:rsidRDefault="00AB1A71" w:rsidP="00EB4FFE">
      <w:pPr>
        <w:spacing w:line="240" w:lineRule="auto"/>
        <w:ind w:left="1080"/>
        <w:rPr>
          <w:rFonts w:eastAsia="Times New Roman" w:cs="Times New Roman"/>
        </w:rPr>
      </w:pPr>
      <w:r>
        <w:rPr>
          <w:rFonts w:eastAsia="Times New Roman" w:cs="Times New Roman"/>
          <w:b/>
          <w:i/>
        </w:rPr>
        <w:t>The CCH A and CCH B p</w:t>
      </w:r>
      <w:r w:rsidR="003C066F">
        <w:rPr>
          <w:rFonts w:eastAsia="Times New Roman" w:cs="Times New Roman"/>
          <w:b/>
          <w:i/>
        </w:rPr>
        <w:t>etitions</w:t>
      </w:r>
      <w:r w:rsidR="00E33EDA">
        <w:rPr>
          <w:rFonts w:eastAsia="Times New Roman" w:cs="Times New Roman"/>
          <w:b/>
          <w:i/>
        </w:rPr>
        <w:t>’</w:t>
      </w:r>
      <w:r w:rsidR="003C066F">
        <w:rPr>
          <w:rFonts w:eastAsia="Times New Roman" w:cs="Times New Roman"/>
          <w:b/>
          <w:i/>
        </w:rPr>
        <w:t xml:space="preserve"> assertion that meeting the </w:t>
      </w:r>
      <w:proofErr w:type="gramStart"/>
      <w:r w:rsidR="003C066F">
        <w:rPr>
          <w:rFonts w:eastAsia="Times New Roman" w:cs="Times New Roman"/>
          <w:b/>
          <w:i/>
        </w:rPr>
        <w:t>nitrate water quality standard</w:t>
      </w:r>
      <w:proofErr w:type="gramEnd"/>
      <w:r w:rsidR="003C066F">
        <w:rPr>
          <w:rFonts w:eastAsia="Times New Roman" w:cs="Times New Roman"/>
          <w:b/>
          <w:i/>
        </w:rPr>
        <w:t xml:space="preserve"> in the Little Rock Creek TMDL will result in increased methyl-mercury levels in Little Rock </w:t>
      </w:r>
      <w:r w:rsidR="003C066F" w:rsidRPr="00B5792F">
        <w:rPr>
          <w:rFonts w:eastAsia="Times New Roman" w:cs="Times New Roman"/>
          <w:b/>
          <w:i/>
          <w:u w:val="single"/>
        </w:rPr>
        <w:t>Lake</w:t>
      </w:r>
      <w:r w:rsidR="003C066F">
        <w:rPr>
          <w:rFonts w:eastAsia="Times New Roman" w:cs="Times New Roman"/>
          <w:b/>
          <w:i/>
        </w:rPr>
        <w:t xml:space="preserve"> </w:t>
      </w:r>
      <w:r w:rsidR="00B7266E">
        <w:rPr>
          <w:rFonts w:eastAsia="Times New Roman" w:cs="Times New Roman"/>
          <w:b/>
          <w:i/>
        </w:rPr>
        <w:t xml:space="preserve">is </w:t>
      </w:r>
      <w:r w:rsidR="00B80872">
        <w:rPr>
          <w:rFonts w:eastAsia="Times New Roman" w:cs="Times New Roman"/>
          <w:b/>
          <w:i/>
        </w:rPr>
        <w:t xml:space="preserve">not related to the matter before the commissioner </w:t>
      </w:r>
    </w:p>
    <w:p w:rsidR="009D05FF" w:rsidRPr="001F123C" w:rsidRDefault="009D05FF" w:rsidP="00172DB8">
      <w:pPr>
        <w:spacing w:line="240" w:lineRule="auto"/>
        <w:rPr>
          <w:rFonts w:eastAsia="Times New Roman" w:cs="Times New Roman"/>
        </w:rPr>
      </w:pPr>
    </w:p>
    <w:p w:rsidR="0036443E" w:rsidRDefault="00AB1A71" w:rsidP="00172DB8">
      <w:pPr>
        <w:pStyle w:val="ListParagraph"/>
        <w:numPr>
          <w:ilvl w:val="0"/>
          <w:numId w:val="1"/>
        </w:numPr>
        <w:tabs>
          <w:tab w:val="left" w:pos="900"/>
        </w:tabs>
        <w:spacing w:line="240" w:lineRule="auto"/>
        <w:ind w:left="900" w:hanging="540"/>
        <w:rPr>
          <w:rFonts w:eastAsia="Times New Roman" w:cs="Times New Roman"/>
        </w:rPr>
      </w:pPr>
      <w:r>
        <w:rPr>
          <w:rFonts w:eastAsia="Times New Roman" w:cs="Times New Roman"/>
        </w:rPr>
        <w:t xml:space="preserve">The </w:t>
      </w:r>
      <w:r w:rsidR="008E1600">
        <w:rPr>
          <w:rFonts w:eastAsia="Times New Roman" w:cs="Times New Roman"/>
        </w:rPr>
        <w:t xml:space="preserve">CCH A and CCH B </w:t>
      </w:r>
      <w:r>
        <w:rPr>
          <w:rFonts w:eastAsia="Times New Roman" w:cs="Times New Roman"/>
        </w:rPr>
        <w:t xml:space="preserve">petitions </w:t>
      </w:r>
      <w:r w:rsidR="0036443E">
        <w:rPr>
          <w:rFonts w:eastAsia="Times New Roman" w:cs="Times New Roman"/>
        </w:rPr>
        <w:t xml:space="preserve">also claim that </w:t>
      </w:r>
      <w:r w:rsidR="009C08B6">
        <w:rPr>
          <w:rFonts w:eastAsia="Times New Roman" w:cs="Times New Roman"/>
        </w:rPr>
        <w:t xml:space="preserve">the </w:t>
      </w:r>
      <w:r w:rsidR="0036443E" w:rsidRPr="005C4559">
        <w:rPr>
          <w:rFonts w:eastAsia="Times New Roman" w:cs="Times New Roman"/>
        </w:rPr>
        <w:t>bio-accumulative toxin methyl mercury</w:t>
      </w:r>
      <w:r w:rsidR="0036443E">
        <w:rPr>
          <w:rFonts w:eastAsia="Times New Roman" w:cs="Times New Roman"/>
        </w:rPr>
        <w:t xml:space="preserve"> will increase in Little Rock </w:t>
      </w:r>
      <w:r w:rsidR="0036443E" w:rsidRPr="00F86830">
        <w:rPr>
          <w:rFonts w:eastAsia="Times New Roman" w:cs="Times New Roman"/>
          <w:u w:val="single"/>
        </w:rPr>
        <w:t>Lake</w:t>
      </w:r>
      <w:r w:rsidR="0036443E">
        <w:rPr>
          <w:rFonts w:eastAsia="Times New Roman" w:cs="Times New Roman"/>
        </w:rPr>
        <w:t xml:space="preserve"> if nitrates </w:t>
      </w:r>
      <w:proofErr w:type="gramStart"/>
      <w:r w:rsidR="0036443E">
        <w:rPr>
          <w:rFonts w:eastAsia="Times New Roman" w:cs="Times New Roman"/>
        </w:rPr>
        <w:t>are reduced</w:t>
      </w:r>
      <w:proofErr w:type="gramEnd"/>
      <w:r w:rsidR="0036443E">
        <w:rPr>
          <w:rFonts w:eastAsia="Times New Roman" w:cs="Times New Roman"/>
        </w:rPr>
        <w:t xml:space="preserve"> in Little Rock Creek</w:t>
      </w:r>
      <w:r w:rsidR="007C1817">
        <w:rPr>
          <w:rFonts w:eastAsia="Times New Roman" w:cs="Times New Roman"/>
        </w:rPr>
        <w:t>.</w:t>
      </w:r>
      <w:r w:rsidR="0036443E" w:rsidRPr="0036443E">
        <w:rPr>
          <w:rFonts w:eastAsia="Times New Roman" w:cs="Times New Roman"/>
        </w:rPr>
        <w:t xml:space="preserve"> </w:t>
      </w:r>
    </w:p>
    <w:p w:rsidR="0036443E" w:rsidRDefault="0036443E" w:rsidP="00172DB8">
      <w:pPr>
        <w:pStyle w:val="ListParagraph"/>
        <w:tabs>
          <w:tab w:val="left" w:pos="720"/>
        </w:tabs>
        <w:spacing w:line="240" w:lineRule="auto"/>
        <w:ind w:hanging="360"/>
        <w:rPr>
          <w:rFonts w:eastAsia="Times New Roman" w:cs="Times New Roman"/>
        </w:rPr>
      </w:pPr>
    </w:p>
    <w:p w:rsidR="00F86830" w:rsidRDefault="00B80872" w:rsidP="00172DB8">
      <w:pPr>
        <w:pStyle w:val="ListParagraph"/>
        <w:numPr>
          <w:ilvl w:val="0"/>
          <w:numId w:val="1"/>
        </w:numPr>
        <w:tabs>
          <w:tab w:val="left" w:pos="900"/>
        </w:tabs>
        <w:spacing w:line="240" w:lineRule="auto"/>
        <w:ind w:left="900" w:hanging="540"/>
        <w:rPr>
          <w:rFonts w:eastAsia="Times New Roman" w:cs="Times New Roman"/>
        </w:rPr>
      </w:pPr>
      <w:r w:rsidRPr="00B80872">
        <w:rPr>
          <w:rFonts w:eastAsia="Times New Roman" w:cs="Times New Roman"/>
        </w:rPr>
        <w:t xml:space="preserve">Little Rock </w:t>
      </w:r>
      <w:r w:rsidRPr="00F86830">
        <w:rPr>
          <w:rFonts w:eastAsia="Times New Roman" w:cs="Times New Roman"/>
          <w:u w:val="single"/>
        </w:rPr>
        <w:t>Lake</w:t>
      </w:r>
      <w:r w:rsidRPr="00B80872">
        <w:rPr>
          <w:rFonts w:eastAsia="Times New Roman" w:cs="Times New Roman"/>
        </w:rPr>
        <w:t xml:space="preserve"> (ID:  05-0013-00) has been on the Minnesota impaired waters list for mercury in fish tissue since 1998. </w:t>
      </w:r>
      <w:r w:rsidR="00B5792F">
        <w:rPr>
          <w:rFonts w:eastAsia="Times New Roman" w:cs="Times New Roman"/>
        </w:rPr>
        <w:t xml:space="preserve">See </w:t>
      </w:r>
      <w:r w:rsidR="00F86830">
        <w:rPr>
          <w:rFonts w:eastAsia="Times New Roman" w:cs="Times New Roman"/>
          <w:i/>
        </w:rPr>
        <w:t xml:space="preserve">Minnesota Statewide Mercury TMDL; </w:t>
      </w:r>
      <w:r w:rsidR="00F86830">
        <w:rPr>
          <w:rFonts w:eastAsia="Times New Roman" w:cs="Times New Roman"/>
        </w:rPr>
        <w:t>Appendix A, Table 3; MPCA March 2007</w:t>
      </w:r>
    </w:p>
    <w:p w:rsidR="006340AC" w:rsidRPr="006340AC" w:rsidRDefault="006340AC" w:rsidP="00172DB8">
      <w:pPr>
        <w:pStyle w:val="ListParagraph"/>
        <w:tabs>
          <w:tab w:val="left" w:pos="900"/>
        </w:tabs>
        <w:spacing w:line="240" w:lineRule="auto"/>
        <w:ind w:left="900" w:hanging="540"/>
        <w:rPr>
          <w:rFonts w:eastAsia="Times New Roman" w:cs="Times New Roman"/>
        </w:rPr>
      </w:pPr>
    </w:p>
    <w:p w:rsidR="00B80872" w:rsidRDefault="00B80872" w:rsidP="00172DB8">
      <w:pPr>
        <w:pStyle w:val="ListParagraph"/>
        <w:numPr>
          <w:ilvl w:val="0"/>
          <w:numId w:val="1"/>
        </w:numPr>
        <w:tabs>
          <w:tab w:val="left" w:pos="900"/>
        </w:tabs>
        <w:spacing w:line="240" w:lineRule="auto"/>
        <w:ind w:left="900" w:hanging="540"/>
        <w:rPr>
          <w:rFonts w:eastAsia="Times New Roman" w:cs="Times New Roman"/>
        </w:rPr>
      </w:pPr>
      <w:r w:rsidRPr="00B80872">
        <w:rPr>
          <w:rFonts w:eastAsia="Times New Roman" w:cs="Times New Roman"/>
        </w:rPr>
        <w:lastRenderedPageBreak/>
        <w:t>The Statewide Mercury TMDL approved in 2008 covers impairment</w:t>
      </w:r>
      <w:r w:rsidR="00A045E8">
        <w:rPr>
          <w:rFonts w:eastAsia="Times New Roman" w:cs="Times New Roman"/>
        </w:rPr>
        <w:t xml:space="preserve">s for mercury in fish tissue for all waterbodies </w:t>
      </w:r>
      <w:r w:rsidR="00F86830">
        <w:rPr>
          <w:rFonts w:eastAsia="Times New Roman" w:cs="Times New Roman"/>
        </w:rPr>
        <w:t>of</w:t>
      </w:r>
      <w:r w:rsidR="00A045E8">
        <w:rPr>
          <w:rFonts w:eastAsia="Times New Roman" w:cs="Times New Roman"/>
        </w:rPr>
        <w:t xml:space="preserve"> the state</w:t>
      </w:r>
      <w:r w:rsidR="00F86830">
        <w:rPr>
          <w:rFonts w:eastAsia="Times New Roman" w:cs="Times New Roman"/>
        </w:rPr>
        <w:t xml:space="preserve"> listed in Appendix A of the </w:t>
      </w:r>
      <w:r w:rsidR="00F86830">
        <w:rPr>
          <w:rFonts w:eastAsia="Times New Roman" w:cs="Times New Roman"/>
          <w:i/>
        </w:rPr>
        <w:t>Minnesota Statewide Mercury TMDL.</w:t>
      </w:r>
    </w:p>
    <w:p w:rsidR="00B80872" w:rsidRPr="00B80872" w:rsidRDefault="00B80872" w:rsidP="00172DB8">
      <w:pPr>
        <w:pStyle w:val="ListParagraph"/>
        <w:tabs>
          <w:tab w:val="left" w:pos="900"/>
        </w:tabs>
        <w:spacing w:line="240" w:lineRule="auto"/>
        <w:ind w:left="900" w:hanging="540"/>
        <w:rPr>
          <w:rFonts w:eastAsia="Times New Roman" w:cs="Times New Roman"/>
        </w:rPr>
      </w:pPr>
    </w:p>
    <w:p w:rsidR="001C6A48" w:rsidRDefault="0036443E" w:rsidP="00172DB8">
      <w:pPr>
        <w:pStyle w:val="ListParagraph"/>
        <w:numPr>
          <w:ilvl w:val="0"/>
          <w:numId w:val="1"/>
        </w:numPr>
        <w:tabs>
          <w:tab w:val="left" w:pos="900"/>
        </w:tabs>
        <w:spacing w:line="240" w:lineRule="auto"/>
        <w:ind w:left="900" w:hanging="540"/>
        <w:rPr>
          <w:rFonts w:eastAsia="Times New Roman" w:cs="Times New Roman"/>
        </w:rPr>
      </w:pPr>
      <w:r w:rsidRPr="008E6678">
        <w:rPr>
          <w:rFonts w:eastAsia="Times New Roman" w:cs="Times New Roman"/>
        </w:rPr>
        <w:t xml:space="preserve">The MPCA </w:t>
      </w:r>
      <w:r w:rsidR="00BC5CEB" w:rsidRPr="008E6678">
        <w:rPr>
          <w:rFonts w:eastAsia="Times New Roman" w:cs="Times New Roman"/>
        </w:rPr>
        <w:t>finds that the petitions</w:t>
      </w:r>
      <w:r w:rsidR="006340AC">
        <w:rPr>
          <w:rFonts w:eastAsia="Times New Roman" w:cs="Times New Roman"/>
        </w:rPr>
        <w:t>’</w:t>
      </w:r>
      <w:r w:rsidR="00BC5CEB" w:rsidRPr="008E6678">
        <w:rPr>
          <w:rFonts w:eastAsia="Times New Roman" w:cs="Times New Roman"/>
        </w:rPr>
        <w:t xml:space="preserve"> claim that methyl mercury may increase in Little Rock </w:t>
      </w:r>
      <w:r w:rsidR="00BC5CEB" w:rsidRPr="00F86830">
        <w:rPr>
          <w:rFonts w:eastAsia="Times New Roman" w:cs="Times New Roman"/>
          <w:u w:val="single"/>
        </w:rPr>
        <w:t>Lake</w:t>
      </w:r>
      <w:r w:rsidR="00BC5CEB" w:rsidRPr="008E6678">
        <w:rPr>
          <w:rFonts w:eastAsia="Times New Roman" w:cs="Times New Roman"/>
        </w:rPr>
        <w:t xml:space="preserve"> is not </w:t>
      </w:r>
      <w:r w:rsidR="00B80872" w:rsidRPr="008E6678">
        <w:rPr>
          <w:rFonts w:eastAsia="Times New Roman" w:cs="Times New Roman"/>
        </w:rPr>
        <w:t>related to matter before th</w:t>
      </w:r>
      <w:r w:rsidR="00BC5CEB" w:rsidRPr="008E6678">
        <w:rPr>
          <w:rFonts w:eastAsia="Times New Roman" w:cs="Times New Roman"/>
        </w:rPr>
        <w:t xml:space="preserve">e commissioner because it concerns Little Rock </w:t>
      </w:r>
      <w:r w:rsidR="00BC5CEB" w:rsidRPr="00F86830">
        <w:rPr>
          <w:rFonts w:eastAsia="Times New Roman" w:cs="Times New Roman"/>
          <w:u w:val="single"/>
        </w:rPr>
        <w:t>Lake</w:t>
      </w:r>
      <w:r w:rsidR="00BC5CEB" w:rsidRPr="008E6678">
        <w:rPr>
          <w:rFonts w:eastAsia="Times New Roman" w:cs="Times New Roman"/>
        </w:rPr>
        <w:t xml:space="preserve"> </w:t>
      </w:r>
      <w:r w:rsidR="008E6678" w:rsidRPr="008E6678">
        <w:rPr>
          <w:rFonts w:eastAsia="Times New Roman" w:cs="Times New Roman"/>
        </w:rPr>
        <w:t xml:space="preserve">and the </w:t>
      </w:r>
      <w:r w:rsidR="00BC5CEB" w:rsidRPr="008E6678">
        <w:rPr>
          <w:rFonts w:eastAsia="Times New Roman" w:cs="Times New Roman"/>
        </w:rPr>
        <w:t>Statewide</w:t>
      </w:r>
      <w:r w:rsidR="008E6678" w:rsidRPr="008E6678">
        <w:rPr>
          <w:rFonts w:eastAsia="Times New Roman" w:cs="Times New Roman"/>
        </w:rPr>
        <w:t xml:space="preserve"> Mercury TMDL, neither of which are related to the matter before the </w:t>
      </w:r>
      <w:proofErr w:type="gramStart"/>
      <w:r w:rsidR="008E6678" w:rsidRPr="008E6678">
        <w:rPr>
          <w:rFonts w:eastAsia="Times New Roman" w:cs="Times New Roman"/>
        </w:rPr>
        <w:t>commissioner which</w:t>
      </w:r>
      <w:proofErr w:type="gramEnd"/>
      <w:r w:rsidR="008E6678" w:rsidRPr="008E6678">
        <w:rPr>
          <w:rFonts w:eastAsia="Times New Roman" w:cs="Times New Roman"/>
        </w:rPr>
        <w:t xml:space="preserve"> is the Little Rock Creek TMDL. </w:t>
      </w:r>
    </w:p>
    <w:p w:rsidR="00F86830" w:rsidRPr="00F86830" w:rsidRDefault="00F86830" w:rsidP="00172DB8">
      <w:pPr>
        <w:pStyle w:val="ListParagraph"/>
        <w:spacing w:line="240" w:lineRule="auto"/>
        <w:rPr>
          <w:rFonts w:eastAsia="Times New Roman" w:cs="Times New Roman"/>
        </w:rPr>
      </w:pPr>
    </w:p>
    <w:p w:rsidR="00332A9F" w:rsidRDefault="007F4834" w:rsidP="00332A9F">
      <w:pPr>
        <w:autoSpaceDE w:val="0"/>
        <w:autoSpaceDN w:val="0"/>
        <w:adjustRightInd w:val="0"/>
        <w:spacing w:line="240" w:lineRule="auto"/>
        <w:ind w:left="360"/>
        <w:rPr>
          <w:b/>
          <w:i/>
        </w:rPr>
      </w:pPr>
      <w:r>
        <w:rPr>
          <w:b/>
          <w:i/>
        </w:rPr>
        <w:t xml:space="preserve">Regarding </w:t>
      </w:r>
      <w:r w:rsidR="00332A9F">
        <w:rPr>
          <w:b/>
          <w:i/>
        </w:rPr>
        <w:t xml:space="preserve">the </w:t>
      </w:r>
      <w:r>
        <w:rPr>
          <w:b/>
          <w:i/>
        </w:rPr>
        <w:t xml:space="preserve">CCH B </w:t>
      </w:r>
      <w:r w:rsidR="00332A9F">
        <w:rPr>
          <w:b/>
          <w:i/>
        </w:rPr>
        <w:t>petitions’</w:t>
      </w:r>
      <w:r>
        <w:rPr>
          <w:b/>
          <w:i/>
        </w:rPr>
        <w:t xml:space="preserve"> m</w:t>
      </w:r>
      <w:r w:rsidRPr="00E310D3">
        <w:rPr>
          <w:b/>
          <w:i/>
        </w:rPr>
        <w:t>atter of concern</w:t>
      </w:r>
      <w:r>
        <w:rPr>
          <w:b/>
          <w:i/>
        </w:rPr>
        <w:t xml:space="preserve"> related to stream classification, t</w:t>
      </w:r>
      <w:r w:rsidRPr="006A211A">
        <w:rPr>
          <w:b/>
          <w:i/>
        </w:rPr>
        <w:t xml:space="preserve">he </w:t>
      </w:r>
      <w:r w:rsidR="00332A9F">
        <w:rPr>
          <w:b/>
          <w:i/>
        </w:rPr>
        <w:t xml:space="preserve">CCH B </w:t>
      </w:r>
      <w:r w:rsidRPr="006A211A">
        <w:rPr>
          <w:b/>
          <w:i/>
        </w:rPr>
        <w:t>petition fail</w:t>
      </w:r>
      <w:r w:rsidR="00332A9F">
        <w:rPr>
          <w:b/>
          <w:i/>
        </w:rPr>
        <w:t>s</w:t>
      </w:r>
      <w:r w:rsidRPr="006A211A">
        <w:rPr>
          <w:b/>
          <w:i/>
        </w:rPr>
        <w:t xml:space="preserve"> criterion A of Minn. R. 7000.1900, </w:t>
      </w:r>
      <w:proofErr w:type="spellStart"/>
      <w:r w:rsidRPr="006A211A">
        <w:rPr>
          <w:b/>
          <w:i/>
        </w:rPr>
        <w:t>subp</w:t>
      </w:r>
      <w:proofErr w:type="spellEnd"/>
      <w:r w:rsidRPr="006A211A">
        <w:rPr>
          <w:b/>
          <w:i/>
        </w:rPr>
        <w:t xml:space="preserve">. 1, because </w:t>
      </w:r>
      <w:r w:rsidR="00332A9F">
        <w:rPr>
          <w:b/>
          <w:i/>
        </w:rPr>
        <w:t>it fails</w:t>
      </w:r>
      <w:r w:rsidRPr="006A211A">
        <w:rPr>
          <w:b/>
          <w:i/>
        </w:rPr>
        <w:t xml:space="preserve"> to state a disputed material issue of fact and instead dispute</w:t>
      </w:r>
      <w:r w:rsidR="00332A9F">
        <w:rPr>
          <w:b/>
          <w:i/>
        </w:rPr>
        <w:t>s</w:t>
      </w:r>
      <w:r w:rsidRPr="006A211A">
        <w:rPr>
          <w:b/>
          <w:i/>
        </w:rPr>
        <w:t xml:space="preserve"> an issue of law or policy</w:t>
      </w:r>
      <w:r w:rsidR="00332A9F" w:rsidRPr="00332A9F">
        <w:rPr>
          <w:b/>
          <w:i/>
        </w:rPr>
        <w:t xml:space="preserve"> </w:t>
      </w:r>
      <w:r w:rsidR="00332A9F">
        <w:rPr>
          <w:b/>
          <w:i/>
        </w:rPr>
        <w:t xml:space="preserve">and fails criterion B of Minn. R. 7000.1900, </w:t>
      </w:r>
      <w:proofErr w:type="spellStart"/>
      <w:r w:rsidR="00332A9F">
        <w:rPr>
          <w:b/>
          <w:i/>
        </w:rPr>
        <w:t>subp</w:t>
      </w:r>
      <w:proofErr w:type="spellEnd"/>
      <w:r w:rsidR="00332A9F">
        <w:rPr>
          <w:b/>
          <w:i/>
        </w:rPr>
        <w:t xml:space="preserve">. </w:t>
      </w:r>
      <w:proofErr w:type="gramStart"/>
      <w:r w:rsidR="00332A9F">
        <w:rPr>
          <w:b/>
          <w:i/>
        </w:rPr>
        <w:t>1</w:t>
      </w:r>
      <w:proofErr w:type="gramEnd"/>
      <w:r w:rsidR="00332A9F">
        <w:rPr>
          <w:b/>
          <w:i/>
        </w:rPr>
        <w:t>, as it fails to raise an issue where the board or commissioner has jurisdiction</w:t>
      </w:r>
    </w:p>
    <w:p w:rsidR="00332A9F" w:rsidRDefault="00332A9F" w:rsidP="00332A9F">
      <w:pPr>
        <w:tabs>
          <w:tab w:val="left" w:pos="1434"/>
          <w:tab w:val="left" w:pos="2142"/>
        </w:tabs>
        <w:autoSpaceDE w:val="0"/>
        <w:autoSpaceDN w:val="0"/>
        <w:adjustRightInd w:val="0"/>
        <w:spacing w:line="240" w:lineRule="auto"/>
        <w:ind w:left="360"/>
        <w:rPr>
          <w:rFonts w:eastAsia="Times New Roman" w:cs="Times New Roman"/>
          <w:b/>
          <w:i/>
        </w:rPr>
      </w:pPr>
    </w:p>
    <w:p w:rsidR="00581FA7" w:rsidRDefault="00A00861" w:rsidP="00172DB8">
      <w:pPr>
        <w:pStyle w:val="ListParagraph"/>
        <w:numPr>
          <w:ilvl w:val="0"/>
          <w:numId w:val="1"/>
        </w:numPr>
        <w:spacing w:line="240" w:lineRule="auto"/>
        <w:ind w:left="900" w:hanging="540"/>
        <w:rPr>
          <w:rFonts w:eastAsia="Times New Roman" w:cs="Times New Roman"/>
        </w:rPr>
      </w:pPr>
      <w:r>
        <w:rPr>
          <w:rFonts w:eastAsia="Times New Roman" w:cs="Times New Roman"/>
        </w:rPr>
        <w:t xml:space="preserve">The </w:t>
      </w:r>
      <w:r w:rsidR="008E1600" w:rsidRPr="008851A0">
        <w:rPr>
          <w:rFonts w:eastAsia="Times New Roman" w:cs="Times New Roman"/>
        </w:rPr>
        <w:t>CCH B</w:t>
      </w:r>
      <w:r>
        <w:rPr>
          <w:rFonts w:eastAsia="Times New Roman" w:cs="Times New Roman"/>
        </w:rPr>
        <w:t xml:space="preserve"> petition</w:t>
      </w:r>
      <w:r w:rsidR="008851A0" w:rsidRPr="008851A0">
        <w:rPr>
          <w:rFonts w:eastAsia="Times New Roman" w:cs="Times New Roman"/>
        </w:rPr>
        <w:t xml:space="preserve"> “disagrees” </w:t>
      </w:r>
      <w:r w:rsidR="00200E7D" w:rsidRPr="008851A0">
        <w:rPr>
          <w:rFonts w:eastAsia="Times New Roman" w:cs="Times New Roman"/>
        </w:rPr>
        <w:t xml:space="preserve">with the classification of Little Rock Creek and Bunker Hill Creek as trout streams. </w:t>
      </w:r>
      <w:r w:rsidR="008851A0">
        <w:rPr>
          <w:rFonts w:eastAsia="Times New Roman" w:cs="Times New Roman"/>
        </w:rPr>
        <w:t xml:space="preserve">The petition claims </w:t>
      </w:r>
      <w:r w:rsidR="00200E7D" w:rsidRPr="008851A0">
        <w:rPr>
          <w:rFonts w:eastAsia="Times New Roman" w:cs="Times New Roman"/>
        </w:rPr>
        <w:t xml:space="preserve">evidence </w:t>
      </w:r>
      <w:r w:rsidR="003146CE">
        <w:rPr>
          <w:rFonts w:eastAsia="Times New Roman" w:cs="Times New Roman"/>
        </w:rPr>
        <w:t xml:space="preserve">does not exist </w:t>
      </w:r>
      <w:r w:rsidR="008851A0">
        <w:rPr>
          <w:rFonts w:eastAsia="Times New Roman" w:cs="Times New Roman"/>
        </w:rPr>
        <w:t xml:space="preserve">supporting such a classification. The petitioner requests that </w:t>
      </w:r>
      <w:r w:rsidR="00200E7D" w:rsidRPr="008851A0">
        <w:rPr>
          <w:rFonts w:eastAsia="Times New Roman" w:cs="Times New Roman"/>
        </w:rPr>
        <w:t xml:space="preserve">MPCA discontinue the </w:t>
      </w:r>
      <w:r w:rsidR="008851A0">
        <w:rPr>
          <w:rFonts w:eastAsia="Times New Roman" w:cs="Times New Roman"/>
        </w:rPr>
        <w:t xml:space="preserve">Little Rock Creek </w:t>
      </w:r>
      <w:r w:rsidR="00200E7D" w:rsidRPr="008851A0">
        <w:rPr>
          <w:rFonts w:eastAsia="Times New Roman" w:cs="Times New Roman"/>
        </w:rPr>
        <w:t xml:space="preserve">TMDL and </w:t>
      </w:r>
      <w:r w:rsidR="008851A0">
        <w:rPr>
          <w:rFonts w:eastAsia="Times New Roman" w:cs="Times New Roman"/>
        </w:rPr>
        <w:t>“</w:t>
      </w:r>
      <w:r w:rsidR="00200E7D" w:rsidRPr="008851A0">
        <w:rPr>
          <w:rFonts w:eastAsia="Times New Roman" w:cs="Times New Roman"/>
        </w:rPr>
        <w:t>change the designated use of these streams to warm water fisheries.”</w:t>
      </w:r>
    </w:p>
    <w:p w:rsidR="00581FA7" w:rsidRDefault="00581FA7" w:rsidP="00172DB8">
      <w:pPr>
        <w:pStyle w:val="ListParagraph"/>
        <w:spacing w:line="240" w:lineRule="auto"/>
        <w:ind w:left="900" w:hanging="540"/>
        <w:rPr>
          <w:rFonts w:eastAsia="Times New Roman" w:cs="Times New Roman"/>
        </w:rPr>
      </w:pPr>
    </w:p>
    <w:p w:rsidR="0026215F" w:rsidRDefault="00766191" w:rsidP="00172DB8">
      <w:pPr>
        <w:pStyle w:val="ListParagraph"/>
        <w:numPr>
          <w:ilvl w:val="0"/>
          <w:numId w:val="1"/>
        </w:numPr>
        <w:spacing w:line="240" w:lineRule="auto"/>
        <w:ind w:left="900" w:hanging="540"/>
        <w:rPr>
          <w:rFonts w:eastAsia="Times New Roman" w:cs="Times New Roman"/>
        </w:rPr>
      </w:pPr>
      <w:r w:rsidRPr="00581FA7">
        <w:rPr>
          <w:rFonts w:eastAsia="Times New Roman" w:cs="Times New Roman"/>
        </w:rPr>
        <w:t xml:space="preserve">The </w:t>
      </w:r>
      <w:r w:rsidR="00BC250F">
        <w:rPr>
          <w:rFonts w:eastAsia="Times New Roman" w:cs="Times New Roman"/>
        </w:rPr>
        <w:t>Minnesota Department of Natural Resources (</w:t>
      </w:r>
      <w:r w:rsidRPr="00581FA7">
        <w:rPr>
          <w:rFonts w:eastAsia="Times New Roman" w:cs="Times New Roman"/>
        </w:rPr>
        <w:t>DNR</w:t>
      </w:r>
      <w:r w:rsidR="00BC250F">
        <w:rPr>
          <w:rFonts w:eastAsia="Times New Roman" w:cs="Times New Roman"/>
        </w:rPr>
        <w:t>)</w:t>
      </w:r>
      <w:r w:rsidRPr="00581FA7">
        <w:rPr>
          <w:rFonts w:eastAsia="Times New Roman" w:cs="Times New Roman"/>
        </w:rPr>
        <w:t xml:space="preserve"> </w:t>
      </w:r>
      <w:r w:rsidR="00581FA7">
        <w:rPr>
          <w:rFonts w:eastAsia="Times New Roman" w:cs="Times New Roman"/>
        </w:rPr>
        <w:t xml:space="preserve">is responsible </w:t>
      </w:r>
      <w:r w:rsidR="0060278F">
        <w:rPr>
          <w:rFonts w:eastAsia="Times New Roman" w:cs="Times New Roman"/>
        </w:rPr>
        <w:t xml:space="preserve">for officially </w:t>
      </w:r>
      <w:r w:rsidRPr="00581FA7">
        <w:rPr>
          <w:rFonts w:eastAsia="Times New Roman" w:cs="Times New Roman"/>
        </w:rPr>
        <w:t>designat</w:t>
      </w:r>
      <w:r w:rsidR="0060278F">
        <w:rPr>
          <w:rFonts w:eastAsia="Times New Roman" w:cs="Times New Roman"/>
        </w:rPr>
        <w:t>ing trout streams to protect and foster the propagation of trout</w:t>
      </w:r>
      <w:r w:rsidRPr="00581FA7">
        <w:rPr>
          <w:rFonts w:eastAsia="Times New Roman" w:cs="Times New Roman"/>
        </w:rPr>
        <w:t>.</w:t>
      </w:r>
      <w:r w:rsidR="005A521C" w:rsidRPr="00581FA7">
        <w:rPr>
          <w:rFonts w:eastAsia="Times New Roman" w:cs="Times New Roman"/>
        </w:rPr>
        <w:t xml:space="preserve"> </w:t>
      </w:r>
      <w:proofErr w:type="gramStart"/>
      <w:r w:rsidR="005A521C" w:rsidRPr="00581FA7">
        <w:rPr>
          <w:rFonts w:eastAsia="Times New Roman" w:cs="Times New Roman"/>
        </w:rPr>
        <w:t>Minn. Stat. § 97C.005</w:t>
      </w:r>
      <w:r w:rsidR="00B824EC">
        <w:rPr>
          <w:rFonts w:eastAsia="Times New Roman" w:cs="Times New Roman"/>
        </w:rPr>
        <w:t>.</w:t>
      </w:r>
      <w:proofErr w:type="gramEnd"/>
      <w:r w:rsidR="0060278F">
        <w:rPr>
          <w:rFonts w:eastAsia="Times New Roman" w:cs="Times New Roman"/>
        </w:rPr>
        <w:t xml:space="preserve"> The list of DNR designated trout streams </w:t>
      </w:r>
      <w:proofErr w:type="gramStart"/>
      <w:r w:rsidR="0060278F">
        <w:rPr>
          <w:rFonts w:eastAsia="Times New Roman" w:cs="Times New Roman"/>
        </w:rPr>
        <w:t>is found</w:t>
      </w:r>
      <w:proofErr w:type="gramEnd"/>
      <w:r w:rsidR="0060278F">
        <w:rPr>
          <w:rFonts w:eastAsia="Times New Roman" w:cs="Times New Roman"/>
        </w:rPr>
        <w:t xml:space="preserve"> in </w:t>
      </w:r>
      <w:r w:rsidR="0026215F" w:rsidRPr="001F123C">
        <w:rPr>
          <w:rFonts w:eastAsia="Times New Roman" w:cs="Times New Roman"/>
        </w:rPr>
        <w:t xml:space="preserve">Minn. R. 6264.0050, </w:t>
      </w:r>
      <w:proofErr w:type="spellStart"/>
      <w:r w:rsidR="0026215F" w:rsidRPr="001F123C">
        <w:rPr>
          <w:rFonts w:eastAsia="Times New Roman" w:cs="Times New Roman"/>
        </w:rPr>
        <w:t>subp</w:t>
      </w:r>
      <w:proofErr w:type="spellEnd"/>
      <w:r w:rsidR="0026215F" w:rsidRPr="001F123C">
        <w:rPr>
          <w:rFonts w:eastAsia="Times New Roman" w:cs="Times New Roman"/>
        </w:rPr>
        <w:t>. 4</w:t>
      </w:r>
      <w:r w:rsidR="0026215F">
        <w:rPr>
          <w:rFonts w:eastAsia="Times New Roman" w:cs="Times New Roman"/>
        </w:rPr>
        <w:t>.</w:t>
      </w:r>
    </w:p>
    <w:p w:rsidR="00447A50" w:rsidRPr="0018465D" w:rsidRDefault="00447A50" w:rsidP="00172DB8">
      <w:pPr>
        <w:pStyle w:val="ListParagraph"/>
        <w:spacing w:line="240" w:lineRule="auto"/>
        <w:ind w:left="900" w:hanging="540"/>
        <w:rPr>
          <w:rFonts w:eastAsia="Times New Roman" w:cs="Times New Roman"/>
        </w:rPr>
      </w:pPr>
    </w:p>
    <w:p w:rsidR="00447A50" w:rsidRDefault="00447A50" w:rsidP="00172DB8">
      <w:pPr>
        <w:pStyle w:val="ListParagraph"/>
        <w:numPr>
          <w:ilvl w:val="0"/>
          <w:numId w:val="1"/>
        </w:numPr>
        <w:spacing w:line="240" w:lineRule="auto"/>
        <w:ind w:left="900" w:hanging="540"/>
        <w:rPr>
          <w:rFonts w:eastAsia="Times New Roman" w:cs="Times New Roman"/>
        </w:rPr>
      </w:pPr>
      <w:r>
        <w:rPr>
          <w:rFonts w:eastAsia="Times New Roman" w:cs="Times New Roman"/>
        </w:rPr>
        <w:t>MPCA has no jurisdiction over the designation of trout streams in Minnesota.</w:t>
      </w:r>
    </w:p>
    <w:p w:rsidR="0026215F" w:rsidRPr="0026215F" w:rsidRDefault="0026215F" w:rsidP="00172DB8">
      <w:pPr>
        <w:pStyle w:val="ListParagraph"/>
        <w:spacing w:line="240" w:lineRule="auto"/>
        <w:ind w:left="900" w:hanging="540"/>
        <w:rPr>
          <w:rFonts w:eastAsia="Times New Roman" w:cs="Times New Roman"/>
        </w:rPr>
      </w:pPr>
    </w:p>
    <w:p w:rsidR="0026215F" w:rsidRDefault="0026215F" w:rsidP="00172DB8">
      <w:pPr>
        <w:pStyle w:val="ListParagraph"/>
        <w:numPr>
          <w:ilvl w:val="0"/>
          <w:numId w:val="1"/>
        </w:numPr>
        <w:spacing w:line="240" w:lineRule="auto"/>
        <w:ind w:left="900" w:hanging="540"/>
        <w:rPr>
          <w:rFonts w:eastAsia="Times New Roman" w:cs="Times New Roman"/>
        </w:rPr>
      </w:pPr>
      <w:r>
        <w:rPr>
          <w:rFonts w:eastAsia="Times New Roman" w:cs="Times New Roman"/>
        </w:rPr>
        <w:t xml:space="preserve">DNR designated </w:t>
      </w:r>
      <w:r w:rsidRPr="0026215F">
        <w:rPr>
          <w:rFonts w:eastAsia="Times New Roman" w:cs="Times New Roman"/>
        </w:rPr>
        <w:t xml:space="preserve">Little Rock Creek as a trout stream </w:t>
      </w:r>
      <w:r>
        <w:rPr>
          <w:rFonts w:eastAsia="Times New Roman" w:cs="Times New Roman"/>
        </w:rPr>
        <w:t xml:space="preserve">in </w:t>
      </w:r>
      <w:r w:rsidRPr="0026215F">
        <w:rPr>
          <w:rFonts w:eastAsia="Times New Roman" w:cs="Times New Roman"/>
        </w:rPr>
        <w:t xml:space="preserve">1964. </w:t>
      </w:r>
      <w:r w:rsidRPr="0026215F">
        <w:rPr>
          <w:rFonts w:cs="Times New Roman"/>
        </w:rPr>
        <w:t>DNR Commissioner Order # 1669 (February 28, 1964).</w:t>
      </w:r>
      <w:r w:rsidRPr="0026215F">
        <w:rPr>
          <w:rFonts w:eastAsia="Times New Roman" w:cs="Times New Roman"/>
        </w:rPr>
        <w:t xml:space="preserve"> The DNR designated trout stream portion for Little Rock </w:t>
      </w:r>
      <w:proofErr w:type="gramStart"/>
      <w:r w:rsidRPr="0026215F">
        <w:rPr>
          <w:rFonts w:eastAsia="Times New Roman" w:cs="Times New Roman"/>
        </w:rPr>
        <w:t xml:space="preserve">Creek </w:t>
      </w:r>
      <w:r>
        <w:rPr>
          <w:rFonts w:eastAsia="Times New Roman" w:cs="Times New Roman"/>
        </w:rPr>
        <w:t xml:space="preserve"> </w:t>
      </w:r>
      <w:r w:rsidRPr="0026215F">
        <w:rPr>
          <w:rFonts w:eastAsia="Times New Roman" w:cs="Times New Roman"/>
        </w:rPr>
        <w:t>can</w:t>
      </w:r>
      <w:proofErr w:type="gramEnd"/>
      <w:r w:rsidRPr="0026215F">
        <w:rPr>
          <w:rFonts w:eastAsia="Times New Roman" w:cs="Times New Roman"/>
        </w:rPr>
        <w:t xml:space="preserve"> be found at Minn. R. 6264.0050, </w:t>
      </w:r>
      <w:proofErr w:type="spellStart"/>
      <w:r w:rsidRPr="0026215F">
        <w:rPr>
          <w:rFonts w:eastAsia="Times New Roman" w:cs="Times New Roman"/>
        </w:rPr>
        <w:t>subp</w:t>
      </w:r>
      <w:proofErr w:type="spellEnd"/>
      <w:r w:rsidRPr="0026215F">
        <w:rPr>
          <w:rFonts w:eastAsia="Times New Roman" w:cs="Times New Roman"/>
        </w:rPr>
        <w:t xml:space="preserve">. 4, </w:t>
      </w:r>
      <w:proofErr w:type="gramStart"/>
      <w:r w:rsidRPr="0026215F">
        <w:rPr>
          <w:rFonts w:eastAsia="Times New Roman" w:cs="Times New Roman"/>
        </w:rPr>
        <w:t>D(</w:t>
      </w:r>
      <w:proofErr w:type="gramEnd"/>
      <w:r w:rsidRPr="0026215F">
        <w:rPr>
          <w:rFonts w:eastAsia="Times New Roman" w:cs="Times New Roman"/>
        </w:rPr>
        <w:t xml:space="preserve">2) </w:t>
      </w:r>
      <w:r>
        <w:rPr>
          <w:rFonts w:eastAsia="Times New Roman" w:cs="Times New Roman"/>
        </w:rPr>
        <w:t xml:space="preserve">(listed as “Rock Creek, Little (Morrison)”) and </w:t>
      </w:r>
      <w:proofErr w:type="spellStart"/>
      <w:r w:rsidRPr="0026215F">
        <w:rPr>
          <w:rFonts w:eastAsia="Times New Roman" w:cs="Times New Roman"/>
        </w:rPr>
        <w:t>subp</w:t>
      </w:r>
      <w:proofErr w:type="spellEnd"/>
      <w:r w:rsidRPr="0026215F">
        <w:rPr>
          <w:rFonts w:eastAsia="Times New Roman" w:cs="Times New Roman"/>
        </w:rPr>
        <w:t>. 4</w:t>
      </w:r>
      <w:r>
        <w:rPr>
          <w:rFonts w:eastAsia="Times New Roman" w:cs="Times New Roman"/>
        </w:rPr>
        <w:t xml:space="preserve">, </w:t>
      </w:r>
      <w:proofErr w:type="gramStart"/>
      <w:r w:rsidRPr="0026215F">
        <w:rPr>
          <w:rFonts w:eastAsia="Times New Roman" w:cs="Times New Roman"/>
        </w:rPr>
        <w:t>EE(</w:t>
      </w:r>
      <w:proofErr w:type="gramEnd"/>
      <w:r w:rsidRPr="0026215F">
        <w:rPr>
          <w:rFonts w:eastAsia="Times New Roman" w:cs="Times New Roman"/>
        </w:rPr>
        <w:t>3)</w:t>
      </w:r>
      <w:r>
        <w:rPr>
          <w:rFonts w:eastAsia="Times New Roman" w:cs="Times New Roman"/>
        </w:rPr>
        <w:t xml:space="preserve"> (listed as “Rock Creek, Little (Benton)”) </w:t>
      </w:r>
      <w:r w:rsidRPr="0026215F">
        <w:rPr>
          <w:rFonts w:eastAsia="Times New Roman" w:cs="Times New Roman"/>
        </w:rPr>
        <w:t>.</w:t>
      </w:r>
      <w:r w:rsidR="00EE32AF">
        <w:rPr>
          <w:rFonts w:eastAsia="Times New Roman" w:cs="Times New Roman"/>
        </w:rPr>
        <w:t xml:space="preserve"> </w:t>
      </w:r>
    </w:p>
    <w:p w:rsidR="0026215F" w:rsidRPr="0026215F" w:rsidRDefault="0026215F" w:rsidP="00172DB8">
      <w:pPr>
        <w:pStyle w:val="ListParagraph"/>
        <w:spacing w:line="240" w:lineRule="auto"/>
        <w:ind w:left="900" w:hanging="540"/>
        <w:rPr>
          <w:rFonts w:eastAsia="Times New Roman" w:cs="Times New Roman"/>
        </w:rPr>
      </w:pPr>
    </w:p>
    <w:p w:rsidR="0026215F" w:rsidRDefault="00EE32AF" w:rsidP="00172DB8">
      <w:pPr>
        <w:pStyle w:val="ListParagraph"/>
        <w:numPr>
          <w:ilvl w:val="0"/>
          <w:numId w:val="1"/>
        </w:numPr>
        <w:spacing w:line="240" w:lineRule="auto"/>
        <w:ind w:left="900" w:hanging="540"/>
        <w:rPr>
          <w:rFonts w:eastAsia="Times New Roman" w:cs="Times New Roman"/>
        </w:rPr>
      </w:pPr>
      <w:r w:rsidRPr="0026215F">
        <w:rPr>
          <w:rFonts w:eastAsia="Times New Roman" w:cs="Times New Roman"/>
        </w:rPr>
        <w:t xml:space="preserve">The DNR designated trout stream portion for </w:t>
      </w:r>
      <w:r>
        <w:rPr>
          <w:rFonts w:eastAsia="Times New Roman" w:cs="Times New Roman"/>
        </w:rPr>
        <w:t xml:space="preserve">Bunker Hill </w:t>
      </w:r>
      <w:r w:rsidRPr="0026215F">
        <w:rPr>
          <w:rFonts w:eastAsia="Times New Roman" w:cs="Times New Roman"/>
        </w:rPr>
        <w:t>Creek</w:t>
      </w:r>
      <w:r>
        <w:rPr>
          <w:rFonts w:eastAsia="Times New Roman" w:cs="Times New Roman"/>
        </w:rPr>
        <w:t xml:space="preserve"> </w:t>
      </w:r>
      <w:proofErr w:type="gramStart"/>
      <w:r w:rsidRPr="0026215F">
        <w:rPr>
          <w:rFonts w:eastAsia="Times New Roman" w:cs="Times New Roman"/>
        </w:rPr>
        <w:t>can be found</w:t>
      </w:r>
      <w:proofErr w:type="gramEnd"/>
      <w:r w:rsidRPr="0026215F">
        <w:rPr>
          <w:rFonts w:eastAsia="Times New Roman" w:cs="Times New Roman"/>
        </w:rPr>
        <w:t xml:space="preserve"> at Minn. R. 6264.0050, </w:t>
      </w:r>
      <w:proofErr w:type="spellStart"/>
      <w:r w:rsidRPr="0026215F">
        <w:rPr>
          <w:rFonts w:eastAsia="Times New Roman" w:cs="Times New Roman"/>
        </w:rPr>
        <w:t>subp</w:t>
      </w:r>
      <w:proofErr w:type="spellEnd"/>
      <w:r w:rsidRPr="0026215F">
        <w:rPr>
          <w:rFonts w:eastAsia="Times New Roman" w:cs="Times New Roman"/>
        </w:rPr>
        <w:t xml:space="preserve">. 4, </w:t>
      </w:r>
      <w:proofErr w:type="gramStart"/>
      <w:r w:rsidRPr="0026215F">
        <w:rPr>
          <w:rFonts w:eastAsia="Times New Roman" w:cs="Times New Roman"/>
        </w:rPr>
        <w:t>D(</w:t>
      </w:r>
      <w:proofErr w:type="gramEnd"/>
      <w:r>
        <w:rPr>
          <w:rFonts w:eastAsia="Times New Roman" w:cs="Times New Roman"/>
        </w:rPr>
        <w:t>1</w:t>
      </w:r>
      <w:r w:rsidRPr="0026215F">
        <w:rPr>
          <w:rFonts w:eastAsia="Times New Roman" w:cs="Times New Roman"/>
        </w:rPr>
        <w:t>)</w:t>
      </w:r>
      <w:r>
        <w:rPr>
          <w:rFonts w:eastAsia="Times New Roman" w:cs="Times New Roman"/>
        </w:rPr>
        <w:t xml:space="preserve"> (listed as “Bunker Hill Brook”).</w:t>
      </w:r>
    </w:p>
    <w:p w:rsidR="00DD10A8" w:rsidRPr="00DD10A8" w:rsidRDefault="00DD10A8" w:rsidP="00172DB8">
      <w:pPr>
        <w:pStyle w:val="ListParagraph"/>
        <w:spacing w:line="240" w:lineRule="auto"/>
        <w:ind w:left="900" w:hanging="540"/>
        <w:rPr>
          <w:rFonts w:eastAsia="Times New Roman" w:cs="Times New Roman"/>
        </w:rPr>
      </w:pPr>
    </w:p>
    <w:p w:rsidR="00DD10A8" w:rsidRPr="00DD10A8" w:rsidRDefault="00DD10A8" w:rsidP="00172DB8">
      <w:pPr>
        <w:pStyle w:val="ListParagraph"/>
        <w:numPr>
          <w:ilvl w:val="0"/>
          <w:numId w:val="1"/>
        </w:numPr>
        <w:spacing w:line="240" w:lineRule="auto"/>
        <w:ind w:left="900" w:hanging="540"/>
        <w:rPr>
          <w:rFonts w:eastAsia="Times New Roman" w:cs="Times New Roman"/>
        </w:rPr>
      </w:pPr>
      <w:proofErr w:type="gramStart"/>
      <w:r>
        <w:rPr>
          <w:rFonts w:eastAsia="Times New Roman" w:cs="Times New Roman"/>
        </w:rPr>
        <w:t>Naturally</w:t>
      </w:r>
      <w:proofErr w:type="gramEnd"/>
      <w:r>
        <w:rPr>
          <w:rFonts w:eastAsia="Times New Roman" w:cs="Times New Roman"/>
        </w:rPr>
        <w:t xml:space="preserve"> </w:t>
      </w:r>
      <w:r w:rsidRPr="00DD10A8">
        <w:rPr>
          <w:rFonts w:eastAsia="Times New Roman" w:cs="Times New Roman"/>
        </w:rPr>
        <w:t xml:space="preserve">reproducing cold-water species have been frequently documented in Little Rock Creek since 1975. DNR </w:t>
      </w:r>
      <w:r w:rsidRPr="009F6173">
        <w:rPr>
          <w:rFonts w:eastAsia="Times New Roman" w:cs="Times New Roman"/>
          <w:i/>
        </w:rPr>
        <w:t>Stream Population Assessment</w:t>
      </w:r>
      <w:r w:rsidRPr="00DD10A8">
        <w:rPr>
          <w:rFonts w:eastAsia="Times New Roman" w:cs="Times New Roman"/>
        </w:rPr>
        <w:t xml:space="preserve"> reports of electroshocking data document naturally reproducing cold-water species in the following years: 1982, 1984, 1988, 1998, 1999, 2000, 2001, 2003 and 2006. </w:t>
      </w:r>
      <w:proofErr w:type="gramStart"/>
      <w:r w:rsidRPr="00DD10A8">
        <w:rPr>
          <w:rFonts w:eastAsia="Times New Roman" w:cs="Times New Roman"/>
        </w:rPr>
        <w:t>Naturally</w:t>
      </w:r>
      <w:proofErr w:type="gramEnd"/>
      <w:r w:rsidRPr="00DD10A8">
        <w:rPr>
          <w:rFonts w:eastAsia="Times New Roman" w:cs="Times New Roman"/>
        </w:rPr>
        <w:t xml:space="preserve"> reproducing brook trout and brown trout were documented in 2009 and 2011. </w:t>
      </w:r>
      <w:proofErr w:type="gramStart"/>
      <w:r w:rsidRPr="00DD10A8">
        <w:rPr>
          <w:rFonts w:eastAsia="Times New Roman" w:cs="Times New Roman"/>
        </w:rPr>
        <w:t>Naturally</w:t>
      </w:r>
      <w:proofErr w:type="gramEnd"/>
      <w:r w:rsidRPr="00DD10A8">
        <w:rPr>
          <w:rFonts w:eastAsia="Times New Roman" w:cs="Times New Roman"/>
        </w:rPr>
        <w:t xml:space="preserve"> reproducing cold-water species were not found in 1995, 1996 or 1997.</w:t>
      </w:r>
    </w:p>
    <w:p w:rsidR="00DC4912" w:rsidRDefault="00DC4912" w:rsidP="00172DB8">
      <w:pPr>
        <w:pStyle w:val="ListParagraph"/>
        <w:spacing w:line="240" w:lineRule="auto"/>
        <w:ind w:left="900" w:hanging="540"/>
      </w:pPr>
    </w:p>
    <w:p w:rsidR="00C87DA1" w:rsidRPr="00C87DA1" w:rsidRDefault="00DC4912" w:rsidP="00172DB8">
      <w:pPr>
        <w:pStyle w:val="ListParagraph"/>
        <w:numPr>
          <w:ilvl w:val="0"/>
          <w:numId w:val="1"/>
        </w:numPr>
        <w:autoSpaceDE w:val="0"/>
        <w:autoSpaceDN w:val="0"/>
        <w:adjustRightInd w:val="0"/>
        <w:spacing w:line="240" w:lineRule="auto"/>
        <w:ind w:left="900" w:hanging="540"/>
        <w:rPr>
          <w:rFonts w:eastAsia="Times New Roman" w:cs="Times New Roman"/>
          <w:i/>
        </w:rPr>
      </w:pPr>
      <w:r w:rsidRPr="001F123C">
        <w:t xml:space="preserve">The CWA requires </w:t>
      </w:r>
      <w:r w:rsidR="00C87DA1">
        <w:t xml:space="preserve">the MPCA </w:t>
      </w:r>
      <w:r w:rsidRPr="001F123C">
        <w:t xml:space="preserve">to </w:t>
      </w:r>
      <w:r w:rsidR="00C87DA1">
        <w:t xml:space="preserve">classify water bodies </w:t>
      </w:r>
      <w:r w:rsidRPr="001F123C">
        <w:t xml:space="preserve">to protect </w:t>
      </w:r>
      <w:r w:rsidR="00C87DA1">
        <w:t>beneficial uses</w:t>
      </w:r>
      <w:r w:rsidRPr="001F123C">
        <w:t xml:space="preserve">. </w:t>
      </w:r>
      <w:proofErr w:type="gramStart"/>
      <w:r w:rsidRPr="001F123C">
        <w:t>33</w:t>
      </w:r>
      <w:proofErr w:type="gramEnd"/>
      <w:r w:rsidRPr="001F123C">
        <w:t xml:space="preserve"> U.S.C. § 1313 (a)-(c). </w:t>
      </w:r>
      <w:r w:rsidR="00C87DA1">
        <w:t xml:space="preserve">The </w:t>
      </w:r>
      <w:r w:rsidR="00C87DA1" w:rsidRPr="00C87DA1">
        <w:rPr>
          <w:rFonts w:eastAsia="Times New Roman" w:cs="Times New Roman"/>
        </w:rPr>
        <w:t>MPCA has the authority to classify and establish standards for waters of the state pursuant to Minn. Stat. § 115.44</w:t>
      </w:r>
      <w:r w:rsidR="00143F74">
        <w:rPr>
          <w:rFonts w:eastAsia="Times New Roman" w:cs="Times New Roman"/>
        </w:rPr>
        <w:t xml:space="preserve">. </w:t>
      </w:r>
    </w:p>
    <w:p w:rsidR="00C87DA1" w:rsidRPr="00DC4912" w:rsidRDefault="00C87DA1" w:rsidP="00172DB8">
      <w:pPr>
        <w:autoSpaceDE w:val="0"/>
        <w:autoSpaceDN w:val="0"/>
        <w:adjustRightInd w:val="0"/>
        <w:spacing w:line="240" w:lineRule="auto"/>
        <w:ind w:left="900" w:hanging="540"/>
        <w:rPr>
          <w:rFonts w:eastAsia="Times New Roman" w:cs="Times New Roman"/>
          <w:i/>
        </w:rPr>
      </w:pPr>
    </w:p>
    <w:p w:rsidR="00071B04" w:rsidRDefault="00071B04" w:rsidP="00172DB8">
      <w:pPr>
        <w:pStyle w:val="ListParagraph"/>
        <w:numPr>
          <w:ilvl w:val="0"/>
          <w:numId w:val="1"/>
        </w:numPr>
        <w:spacing w:line="240" w:lineRule="auto"/>
        <w:ind w:left="900" w:hanging="540"/>
        <w:rPr>
          <w:rFonts w:eastAsia="Times New Roman" w:cs="Times New Roman"/>
        </w:rPr>
      </w:pPr>
      <w:r w:rsidRPr="00DD24C6">
        <w:rPr>
          <w:rFonts w:eastAsia="Times New Roman" w:cs="Times New Roman"/>
        </w:rPr>
        <w:t xml:space="preserve">The CWA also requires the MPCA to protect water bodies for uses that existed on or before </w:t>
      </w:r>
      <w:r w:rsidR="006E67B5" w:rsidRPr="00DD24C6">
        <w:rPr>
          <w:rFonts w:eastAsia="Times New Roman" w:cs="Times New Roman"/>
        </w:rPr>
        <w:t>November 28, 1975</w:t>
      </w:r>
      <w:r w:rsidRPr="00DD24C6">
        <w:rPr>
          <w:rFonts w:eastAsia="Times New Roman" w:cs="Times New Roman"/>
        </w:rPr>
        <w:t xml:space="preserve"> (referred to as “existing uses”). 40 CFR </w:t>
      </w:r>
      <w:r w:rsidRPr="00DD24C6">
        <w:rPr>
          <w:rFonts w:ascii="Lucida Sans Unicode" w:hAnsi="Lucida Sans Unicode" w:cs="Lucida Sans Unicode"/>
          <w:color w:val="151515"/>
          <w:sz w:val="19"/>
          <w:szCs w:val="19"/>
          <w:lang w:val="en"/>
        </w:rPr>
        <w:t>131.12(a</w:t>
      </w:r>
      <w:proofErr w:type="gramStart"/>
      <w:r w:rsidRPr="00DD24C6">
        <w:rPr>
          <w:rFonts w:ascii="Lucida Sans Unicode" w:hAnsi="Lucida Sans Unicode" w:cs="Lucida Sans Unicode"/>
          <w:color w:val="151515"/>
          <w:sz w:val="19"/>
          <w:szCs w:val="19"/>
          <w:lang w:val="en"/>
        </w:rPr>
        <w:t>)(</w:t>
      </w:r>
      <w:proofErr w:type="gramEnd"/>
      <w:r w:rsidRPr="00DD24C6">
        <w:rPr>
          <w:rFonts w:ascii="Lucida Sans Unicode" w:hAnsi="Lucida Sans Unicode" w:cs="Lucida Sans Unicode"/>
          <w:color w:val="151515"/>
          <w:sz w:val="19"/>
          <w:szCs w:val="19"/>
          <w:lang w:val="en"/>
        </w:rPr>
        <w:t>1).</w:t>
      </w:r>
      <w:r w:rsidRPr="00DD24C6">
        <w:rPr>
          <w:rFonts w:eastAsia="Times New Roman" w:cs="Times New Roman"/>
        </w:rPr>
        <w:t xml:space="preserve"> </w:t>
      </w:r>
      <w:r w:rsidR="006E67B5" w:rsidRPr="00DD24C6">
        <w:rPr>
          <w:rFonts w:eastAsia="Times New Roman" w:cs="Times New Roman"/>
        </w:rPr>
        <w:t xml:space="preserve">An "existing use" </w:t>
      </w:r>
      <w:proofErr w:type="gramStart"/>
      <w:r w:rsidR="006E67B5" w:rsidRPr="00DD24C6">
        <w:rPr>
          <w:rFonts w:eastAsia="Times New Roman" w:cs="Times New Roman"/>
        </w:rPr>
        <w:t>can be es</w:t>
      </w:r>
      <w:r w:rsidR="00DD24C6" w:rsidRPr="00DD24C6">
        <w:rPr>
          <w:rFonts w:eastAsia="Times New Roman" w:cs="Times New Roman"/>
        </w:rPr>
        <w:t>tablished</w:t>
      </w:r>
      <w:proofErr w:type="gramEnd"/>
      <w:r w:rsidR="00DD24C6" w:rsidRPr="00DD24C6">
        <w:rPr>
          <w:rFonts w:eastAsia="Times New Roman" w:cs="Times New Roman"/>
        </w:rPr>
        <w:t xml:space="preserve"> by demonstrating that</w:t>
      </w:r>
      <w:r w:rsidR="00DD24C6">
        <w:rPr>
          <w:rFonts w:eastAsia="Times New Roman" w:cs="Times New Roman"/>
        </w:rPr>
        <w:t xml:space="preserve"> the </w:t>
      </w:r>
      <w:r w:rsidR="006E67B5" w:rsidRPr="00DD24C6">
        <w:rPr>
          <w:rFonts w:eastAsia="Times New Roman" w:cs="Times New Roman"/>
        </w:rPr>
        <w:t>use actually occurred since November 28, 1975</w:t>
      </w:r>
      <w:r w:rsidR="00DD24C6">
        <w:rPr>
          <w:rFonts w:eastAsia="Times New Roman" w:cs="Times New Roman"/>
        </w:rPr>
        <w:t xml:space="preserve">. </w:t>
      </w:r>
      <w:r w:rsidR="00DD24C6" w:rsidRPr="00DD24C6">
        <w:rPr>
          <w:rFonts w:eastAsia="Times New Roman" w:cs="Times New Roman"/>
        </w:rPr>
        <w:t>Th</w:t>
      </w:r>
      <w:r w:rsidR="00DD24C6">
        <w:rPr>
          <w:rFonts w:eastAsia="Times New Roman" w:cs="Times New Roman"/>
        </w:rPr>
        <w:t xml:space="preserve">e </w:t>
      </w:r>
      <w:r w:rsidR="00DD24C6">
        <w:rPr>
          <w:rFonts w:eastAsia="Times New Roman" w:cs="Times New Roman"/>
        </w:rPr>
        <w:lastRenderedPageBreak/>
        <w:t xml:space="preserve">CWA </w:t>
      </w:r>
      <w:r w:rsidR="00DD24C6" w:rsidRPr="00DD24C6">
        <w:rPr>
          <w:rFonts w:eastAsia="Times New Roman" w:cs="Times New Roman"/>
        </w:rPr>
        <w:t xml:space="preserve">requires the </w:t>
      </w:r>
      <w:r w:rsidR="00DD24C6">
        <w:rPr>
          <w:rFonts w:eastAsia="Times New Roman" w:cs="Times New Roman"/>
        </w:rPr>
        <w:t xml:space="preserve">MPCA to </w:t>
      </w:r>
      <w:r w:rsidR="00DD24C6" w:rsidRPr="00DD24C6">
        <w:rPr>
          <w:rFonts w:eastAsia="Times New Roman" w:cs="Times New Roman"/>
        </w:rPr>
        <w:t xml:space="preserve">protect </w:t>
      </w:r>
      <w:r w:rsidR="00DD24C6">
        <w:rPr>
          <w:rFonts w:eastAsia="Times New Roman" w:cs="Times New Roman"/>
        </w:rPr>
        <w:t xml:space="preserve">the </w:t>
      </w:r>
      <w:r w:rsidR="00DD24C6" w:rsidRPr="00DD24C6">
        <w:rPr>
          <w:rFonts w:eastAsia="Times New Roman" w:cs="Times New Roman"/>
        </w:rPr>
        <w:t xml:space="preserve">existing use and </w:t>
      </w:r>
      <w:r w:rsidR="00DD24C6">
        <w:rPr>
          <w:rFonts w:eastAsia="Times New Roman" w:cs="Times New Roman"/>
        </w:rPr>
        <w:t xml:space="preserve">to protect </w:t>
      </w:r>
      <w:r w:rsidR="00DD24C6" w:rsidRPr="00DD24C6">
        <w:rPr>
          <w:rFonts w:eastAsia="Times New Roman" w:cs="Times New Roman"/>
        </w:rPr>
        <w:t>the level of water quality to protect those uses.</w:t>
      </w:r>
    </w:p>
    <w:p w:rsidR="00DD24C6" w:rsidRPr="00DD24C6" w:rsidRDefault="00DD24C6" w:rsidP="00172DB8">
      <w:pPr>
        <w:pStyle w:val="ListParagraph"/>
        <w:spacing w:line="240" w:lineRule="auto"/>
        <w:ind w:left="900" w:hanging="540"/>
        <w:rPr>
          <w:rFonts w:eastAsia="Times New Roman" w:cs="Times New Roman"/>
        </w:rPr>
      </w:pPr>
    </w:p>
    <w:p w:rsidR="0026215F" w:rsidRDefault="00DD24C6" w:rsidP="00172DB8">
      <w:pPr>
        <w:pStyle w:val="ListParagraph"/>
        <w:numPr>
          <w:ilvl w:val="0"/>
          <w:numId w:val="1"/>
        </w:numPr>
        <w:spacing w:line="240" w:lineRule="auto"/>
        <w:ind w:left="900" w:hanging="540"/>
        <w:rPr>
          <w:rFonts w:eastAsia="Times New Roman" w:cs="Times New Roman"/>
        </w:rPr>
      </w:pPr>
      <w:r>
        <w:rPr>
          <w:rFonts w:eastAsia="Times New Roman" w:cs="Times New Roman"/>
        </w:rPr>
        <w:t xml:space="preserve">The MPCA finds that the </w:t>
      </w:r>
      <w:r w:rsidR="00B5608C">
        <w:rPr>
          <w:rFonts w:eastAsia="Times New Roman" w:cs="Times New Roman"/>
        </w:rPr>
        <w:t xml:space="preserve">CWA coupled with the </w:t>
      </w:r>
      <w:r>
        <w:rPr>
          <w:rFonts w:eastAsia="Times New Roman" w:cs="Times New Roman"/>
        </w:rPr>
        <w:t>DNR designation of Little Rock Creek and Bunker Hill Creek as trout streams requires the MPCA by law to classify the waterbodies for the protection of the existing use as trout streams.</w:t>
      </w:r>
      <w:r w:rsidR="0038521A">
        <w:rPr>
          <w:rFonts w:eastAsia="Times New Roman" w:cs="Times New Roman"/>
        </w:rPr>
        <w:t xml:space="preserve"> </w:t>
      </w:r>
      <w:r w:rsidR="00143F74" w:rsidRPr="0038521A">
        <w:rPr>
          <w:rFonts w:eastAsia="Times New Roman" w:cs="Times New Roman"/>
        </w:rPr>
        <w:t xml:space="preserve">The MPCA designated Class 2A portion of Little Rock Creek </w:t>
      </w:r>
      <w:proofErr w:type="gramStart"/>
      <w:r w:rsidR="00143F74" w:rsidRPr="0038521A">
        <w:rPr>
          <w:rFonts w:eastAsia="Times New Roman" w:cs="Times New Roman"/>
        </w:rPr>
        <w:t>can be found</w:t>
      </w:r>
      <w:proofErr w:type="gramEnd"/>
      <w:r w:rsidR="00143F74" w:rsidRPr="0038521A">
        <w:rPr>
          <w:rFonts w:eastAsia="Times New Roman" w:cs="Times New Roman"/>
        </w:rPr>
        <w:t xml:space="preserve"> at Minn. R. 7050.0470, </w:t>
      </w:r>
      <w:proofErr w:type="spellStart"/>
      <w:r w:rsidR="00143F74" w:rsidRPr="0038521A">
        <w:rPr>
          <w:rFonts w:eastAsia="Times New Roman" w:cs="Times New Roman"/>
        </w:rPr>
        <w:t>subp</w:t>
      </w:r>
      <w:proofErr w:type="spellEnd"/>
      <w:r w:rsidR="00143F74" w:rsidRPr="0038521A">
        <w:rPr>
          <w:rFonts w:eastAsia="Times New Roman" w:cs="Times New Roman"/>
        </w:rPr>
        <w:t xml:space="preserve">. 4, </w:t>
      </w:r>
      <w:proofErr w:type="gramStart"/>
      <w:r w:rsidR="00143F74" w:rsidRPr="0038521A">
        <w:rPr>
          <w:rFonts w:eastAsia="Times New Roman" w:cs="Times New Roman"/>
        </w:rPr>
        <w:t>A(</w:t>
      </w:r>
      <w:proofErr w:type="gramEnd"/>
      <w:r w:rsidR="00143F74" w:rsidRPr="0038521A">
        <w:rPr>
          <w:rFonts w:eastAsia="Times New Roman" w:cs="Times New Roman"/>
        </w:rPr>
        <w:t>148).</w:t>
      </w:r>
    </w:p>
    <w:p w:rsidR="00404283" w:rsidRPr="00404283" w:rsidRDefault="00404283" w:rsidP="00172DB8">
      <w:pPr>
        <w:pStyle w:val="ListParagraph"/>
        <w:spacing w:line="240" w:lineRule="auto"/>
        <w:ind w:left="900" w:hanging="540"/>
        <w:rPr>
          <w:rFonts w:eastAsia="Times New Roman" w:cs="Times New Roman"/>
        </w:rPr>
      </w:pPr>
    </w:p>
    <w:p w:rsidR="00404283" w:rsidRPr="00B824EC" w:rsidRDefault="00404283" w:rsidP="00172DB8">
      <w:pPr>
        <w:pStyle w:val="ListParagraph"/>
        <w:numPr>
          <w:ilvl w:val="0"/>
          <w:numId w:val="1"/>
        </w:numPr>
        <w:spacing w:line="240" w:lineRule="auto"/>
        <w:ind w:left="900" w:hanging="540"/>
        <w:rPr>
          <w:rFonts w:eastAsia="Times New Roman" w:cs="Times New Roman"/>
        </w:rPr>
      </w:pPr>
      <w:r>
        <w:rPr>
          <w:rFonts w:eastAsia="Times New Roman" w:cs="Times New Roman"/>
        </w:rPr>
        <w:t>The MPCA further finds that t</w:t>
      </w:r>
      <w:r w:rsidRPr="0038521A">
        <w:rPr>
          <w:rFonts w:eastAsia="Times New Roman" w:cs="Times New Roman"/>
        </w:rPr>
        <w:t xml:space="preserve">he MPCA has </w:t>
      </w:r>
      <w:r>
        <w:rPr>
          <w:rFonts w:eastAsia="Times New Roman" w:cs="Times New Roman"/>
        </w:rPr>
        <w:t xml:space="preserve">no authority to change the trout stream </w:t>
      </w:r>
      <w:r w:rsidRPr="00B824EC">
        <w:rPr>
          <w:rFonts w:eastAsia="Times New Roman" w:cs="Times New Roman"/>
        </w:rPr>
        <w:t>designation.</w:t>
      </w:r>
    </w:p>
    <w:p w:rsidR="00404283" w:rsidRPr="00B824EC" w:rsidRDefault="00404283" w:rsidP="00172DB8">
      <w:pPr>
        <w:pStyle w:val="ListParagraph"/>
        <w:spacing w:line="240" w:lineRule="auto"/>
        <w:ind w:left="900" w:hanging="540"/>
        <w:rPr>
          <w:rFonts w:eastAsia="Times New Roman" w:cs="Times New Roman"/>
        </w:rPr>
      </w:pPr>
    </w:p>
    <w:p w:rsidR="00404283" w:rsidRPr="00C776B6" w:rsidRDefault="00B824EC" w:rsidP="00C776B6">
      <w:pPr>
        <w:pStyle w:val="ListParagraph"/>
        <w:numPr>
          <w:ilvl w:val="0"/>
          <w:numId w:val="1"/>
        </w:numPr>
        <w:spacing w:line="240" w:lineRule="auto"/>
        <w:ind w:left="900" w:hanging="540"/>
        <w:rPr>
          <w:rFonts w:eastAsia="Times New Roman" w:cs="Times New Roman"/>
        </w:rPr>
      </w:pPr>
      <w:r w:rsidRPr="00B824EC">
        <w:t xml:space="preserve">Therefore, on the petitioners’ matter of concern related to stream classification, the MPCA finds that the petitioners fail to show the existence of a disputed material issue of fact concerning the matter pending before the board or commissioner. </w:t>
      </w:r>
      <w:r w:rsidR="00404283" w:rsidRPr="00B824EC">
        <w:rPr>
          <w:rFonts w:eastAsia="Times New Roman" w:cs="Times New Roman"/>
        </w:rPr>
        <w:t>The petitioners instead dispute a matter of law (i.e., the classification of Little Rock Creek and Bunker Hill Creek as trout streams)</w:t>
      </w:r>
      <w:r w:rsidR="00447A50" w:rsidRPr="00B824EC">
        <w:rPr>
          <w:rFonts w:eastAsia="Times New Roman" w:cs="Times New Roman"/>
        </w:rPr>
        <w:t xml:space="preserve"> and jurisdiction (i.e., the MPCA does not have jurisdiction over trout stream designation)</w:t>
      </w:r>
      <w:r w:rsidR="00404283" w:rsidRPr="00B824EC">
        <w:rPr>
          <w:rFonts w:eastAsia="Times New Roman" w:cs="Times New Roman"/>
        </w:rPr>
        <w:t xml:space="preserve">, and therefore fail to meet criterion </w:t>
      </w:r>
      <w:r w:rsidR="00C776B6">
        <w:rPr>
          <w:rFonts w:eastAsia="Times New Roman" w:cs="Times New Roman"/>
        </w:rPr>
        <w:t xml:space="preserve">A. and B. </w:t>
      </w:r>
      <w:r w:rsidR="00404283" w:rsidRPr="00B824EC">
        <w:rPr>
          <w:rFonts w:eastAsia="Times New Roman" w:cs="Times New Roman"/>
        </w:rPr>
        <w:t xml:space="preserve">of Minn. R. 7000.1900, </w:t>
      </w:r>
      <w:proofErr w:type="spellStart"/>
      <w:r w:rsidR="00404283" w:rsidRPr="00B824EC">
        <w:rPr>
          <w:rFonts w:eastAsia="Times New Roman" w:cs="Times New Roman"/>
        </w:rPr>
        <w:t>subp</w:t>
      </w:r>
      <w:proofErr w:type="spellEnd"/>
      <w:r w:rsidR="00404283" w:rsidRPr="00B824EC">
        <w:rPr>
          <w:rFonts w:eastAsia="Times New Roman" w:cs="Times New Roman"/>
        </w:rPr>
        <w:t xml:space="preserve">. </w:t>
      </w:r>
      <w:proofErr w:type="gramStart"/>
      <w:r w:rsidR="00404283" w:rsidRPr="00B824EC">
        <w:rPr>
          <w:rFonts w:eastAsia="Times New Roman" w:cs="Times New Roman"/>
        </w:rPr>
        <w:t>1</w:t>
      </w:r>
      <w:proofErr w:type="gramEnd"/>
      <w:r w:rsidR="00C776B6">
        <w:rPr>
          <w:rFonts w:eastAsia="Times New Roman" w:cs="Times New Roman"/>
        </w:rPr>
        <w:t xml:space="preserve"> </w:t>
      </w:r>
      <w:r w:rsidR="00404283" w:rsidRPr="00B824EC">
        <w:rPr>
          <w:rFonts w:eastAsia="Times New Roman" w:cs="Times New Roman"/>
        </w:rPr>
        <w:t>that requires the petitioners to state a disputed material issue of fact</w:t>
      </w:r>
      <w:r w:rsidR="00C776B6" w:rsidRPr="00C776B6">
        <w:rPr>
          <w:rFonts w:eastAsia="Times New Roman" w:cs="Times New Roman"/>
        </w:rPr>
        <w:t xml:space="preserve"> </w:t>
      </w:r>
      <w:r w:rsidR="00C776B6">
        <w:rPr>
          <w:rFonts w:eastAsia="Times New Roman" w:cs="Times New Roman"/>
        </w:rPr>
        <w:t>and that the board or commissioner has the jurisdiction to make a determination on the disputed material issue of fact.</w:t>
      </w:r>
    </w:p>
    <w:p w:rsidR="007E6CAE" w:rsidRPr="007E6CAE" w:rsidRDefault="007E6CAE" w:rsidP="007E6CAE">
      <w:pPr>
        <w:pStyle w:val="ListParagraph"/>
        <w:rPr>
          <w:rFonts w:eastAsia="Times New Roman" w:cs="Times New Roman"/>
        </w:rPr>
      </w:pPr>
    </w:p>
    <w:p w:rsidR="007E6CAE" w:rsidRPr="007E6CAE" w:rsidRDefault="007E6CAE" w:rsidP="007E6CAE">
      <w:pPr>
        <w:pStyle w:val="ListParagraph"/>
        <w:numPr>
          <w:ilvl w:val="0"/>
          <w:numId w:val="1"/>
        </w:numPr>
        <w:spacing w:line="240" w:lineRule="auto"/>
        <w:rPr>
          <w:rFonts w:eastAsia="Times New Roman" w:cs="Times New Roman"/>
        </w:rPr>
      </w:pPr>
      <w:r w:rsidRPr="007E6CAE">
        <w:rPr>
          <w:rFonts w:eastAsia="Times New Roman" w:cs="Times New Roman"/>
        </w:rPr>
        <w:t xml:space="preserve">Based on the </w:t>
      </w:r>
      <w:r w:rsidR="00D00383">
        <w:rPr>
          <w:rFonts w:eastAsia="Times New Roman" w:cs="Times New Roman"/>
        </w:rPr>
        <w:t>preceding</w:t>
      </w:r>
      <w:r w:rsidRPr="007E6CAE">
        <w:rPr>
          <w:rFonts w:eastAsia="Times New Roman" w:cs="Times New Roman"/>
        </w:rPr>
        <w:t xml:space="preserve"> Findings, MPCA finds there is no material issue of fact in dispute concerning the matter pending before the commissioner as required by Minn. R. 7000.1900, </w:t>
      </w:r>
      <w:proofErr w:type="spellStart"/>
      <w:r w:rsidRPr="007E6CAE">
        <w:rPr>
          <w:rFonts w:eastAsia="Times New Roman" w:cs="Times New Roman"/>
        </w:rPr>
        <w:t>subp</w:t>
      </w:r>
      <w:proofErr w:type="spellEnd"/>
      <w:r w:rsidRPr="007E6CAE">
        <w:rPr>
          <w:rFonts w:eastAsia="Times New Roman" w:cs="Times New Roman"/>
        </w:rPr>
        <w:t xml:space="preserve">. </w:t>
      </w:r>
      <w:proofErr w:type="gramStart"/>
      <w:r w:rsidRPr="007E6CAE">
        <w:rPr>
          <w:rFonts w:eastAsia="Times New Roman" w:cs="Times New Roman"/>
        </w:rPr>
        <w:t>1</w:t>
      </w:r>
      <w:proofErr w:type="gramEnd"/>
      <w:r w:rsidRPr="007E6CAE">
        <w:rPr>
          <w:rFonts w:eastAsia="Times New Roman" w:cs="Times New Roman"/>
        </w:rPr>
        <w:t xml:space="preserve"> criterion A</w:t>
      </w:r>
      <w:r w:rsidR="006C17FA">
        <w:rPr>
          <w:rFonts w:eastAsia="Times New Roman" w:cs="Times New Roman"/>
        </w:rPr>
        <w:t xml:space="preserve"> and criterion B</w:t>
      </w:r>
      <w:r w:rsidRPr="007E6CAE">
        <w:rPr>
          <w:rFonts w:eastAsia="Times New Roman" w:cs="Times New Roman"/>
        </w:rPr>
        <w:t xml:space="preserve">. </w:t>
      </w:r>
    </w:p>
    <w:p w:rsidR="007E6CAE" w:rsidRPr="007E6CAE" w:rsidRDefault="007E6CAE" w:rsidP="007E6CAE">
      <w:pPr>
        <w:spacing w:line="240" w:lineRule="auto"/>
        <w:rPr>
          <w:rFonts w:eastAsia="Times New Roman" w:cs="Times New Roman"/>
        </w:rPr>
      </w:pPr>
      <w:r w:rsidRPr="007E6CAE">
        <w:rPr>
          <w:rFonts w:eastAsia="Times New Roman" w:cs="Times New Roman"/>
        </w:rPr>
        <w:t> </w:t>
      </w:r>
    </w:p>
    <w:p w:rsidR="007E6CAE" w:rsidRPr="007E6CAE" w:rsidRDefault="007E6CAE" w:rsidP="007E6CAE">
      <w:pPr>
        <w:spacing w:line="240" w:lineRule="auto"/>
        <w:rPr>
          <w:rFonts w:eastAsia="Times New Roman" w:cs="Times New Roman"/>
          <w:b/>
          <w:i/>
        </w:rPr>
      </w:pPr>
      <w:r w:rsidRPr="007E6CAE">
        <w:rPr>
          <w:rFonts w:eastAsia="Times New Roman" w:cs="Times New Roman"/>
          <w:b/>
          <w:i/>
        </w:rPr>
        <w:t xml:space="preserve">The petitions fail criterion C of Minn. R. 7000.1900, </w:t>
      </w:r>
      <w:proofErr w:type="spellStart"/>
      <w:r w:rsidRPr="007E6CAE">
        <w:rPr>
          <w:rFonts w:eastAsia="Times New Roman" w:cs="Times New Roman"/>
          <w:b/>
          <w:i/>
        </w:rPr>
        <w:t>subp</w:t>
      </w:r>
      <w:proofErr w:type="spellEnd"/>
      <w:r w:rsidRPr="007E6CAE">
        <w:rPr>
          <w:rFonts w:eastAsia="Times New Roman" w:cs="Times New Roman"/>
          <w:b/>
          <w:i/>
        </w:rPr>
        <w:t xml:space="preserve">. 1, because there is no reasonable basis underlying a disputed material issue of fact such that the holding of a contested case hearing would allow the introduction of information that would aid the commissioner in making a final decision on the matter </w:t>
      </w:r>
    </w:p>
    <w:p w:rsidR="007E6CAE" w:rsidRPr="007E6CAE" w:rsidRDefault="007E6CAE" w:rsidP="007E6CAE">
      <w:pPr>
        <w:spacing w:line="240" w:lineRule="auto"/>
        <w:rPr>
          <w:rFonts w:eastAsia="Times New Roman" w:cs="Times New Roman"/>
        </w:rPr>
      </w:pPr>
    </w:p>
    <w:p w:rsidR="007E6CAE" w:rsidRPr="007E6CAE" w:rsidRDefault="007E6CAE" w:rsidP="007E6CAE">
      <w:pPr>
        <w:pStyle w:val="ListParagraph"/>
        <w:numPr>
          <w:ilvl w:val="0"/>
          <w:numId w:val="1"/>
        </w:numPr>
        <w:spacing w:line="240" w:lineRule="auto"/>
        <w:rPr>
          <w:rFonts w:eastAsia="Times New Roman" w:cs="Times New Roman"/>
        </w:rPr>
      </w:pPr>
      <w:r w:rsidRPr="007E6CAE">
        <w:rPr>
          <w:rFonts w:eastAsia="Times New Roman" w:cs="Times New Roman"/>
        </w:rPr>
        <w:t>Petitioners raise questions of law and policy and fail to raise a disputed material issue of fact. Thus, a contested case hearing is not appropriate.</w:t>
      </w:r>
    </w:p>
    <w:p w:rsidR="007E6CAE" w:rsidRPr="007E6CAE" w:rsidRDefault="007E6CAE" w:rsidP="007E6CAE">
      <w:pPr>
        <w:spacing w:line="240" w:lineRule="auto"/>
        <w:rPr>
          <w:rFonts w:eastAsia="Times New Roman" w:cs="Times New Roman"/>
        </w:rPr>
      </w:pPr>
    </w:p>
    <w:p w:rsidR="007E6CAE" w:rsidRPr="007E6CAE" w:rsidRDefault="007E6CAE" w:rsidP="007E6CAE">
      <w:pPr>
        <w:pStyle w:val="ListParagraph"/>
        <w:numPr>
          <w:ilvl w:val="0"/>
          <w:numId w:val="1"/>
        </w:numPr>
        <w:spacing w:line="240" w:lineRule="auto"/>
        <w:rPr>
          <w:rFonts w:eastAsia="Times New Roman" w:cs="Times New Roman"/>
        </w:rPr>
      </w:pPr>
      <w:proofErr w:type="gramStart"/>
      <w:r w:rsidRPr="007E6CAE">
        <w:rPr>
          <w:rFonts w:eastAsia="Times New Roman" w:cs="Times New Roman"/>
        </w:rPr>
        <w:t xml:space="preserve">Based on the preceding Findings, MPCA finds there is no reasonable basis underlying a “disputed material issue of fact or facts such that the holding of a contested case hearing would allow the introduction of information that would aid the board or commissioner in resolving the disputed facts in making a final decision on the matter” as required by Minn. R. 7000.1900, </w:t>
      </w:r>
      <w:proofErr w:type="spellStart"/>
      <w:r w:rsidRPr="007E6CAE">
        <w:rPr>
          <w:rFonts w:eastAsia="Times New Roman" w:cs="Times New Roman"/>
        </w:rPr>
        <w:t>subp</w:t>
      </w:r>
      <w:proofErr w:type="spellEnd"/>
      <w:r w:rsidRPr="007E6CAE">
        <w:rPr>
          <w:rFonts w:eastAsia="Times New Roman" w:cs="Times New Roman"/>
        </w:rPr>
        <w:t>.</w:t>
      </w:r>
      <w:proofErr w:type="gramEnd"/>
      <w:r w:rsidRPr="007E6CAE">
        <w:rPr>
          <w:rFonts w:eastAsia="Times New Roman" w:cs="Times New Roman"/>
        </w:rPr>
        <w:t xml:space="preserve"> </w:t>
      </w:r>
      <w:proofErr w:type="gramStart"/>
      <w:r w:rsidRPr="007E6CAE">
        <w:rPr>
          <w:rFonts w:eastAsia="Times New Roman" w:cs="Times New Roman"/>
        </w:rPr>
        <w:t>1</w:t>
      </w:r>
      <w:proofErr w:type="gramEnd"/>
      <w:r w:rsidRPr="007E6CAE">
        <w:rPr>
          <w:rFonts w:eastAsia="Times New Roman" w:cs="Times New Roman"/>
        </w:rPr>
        <w:t>, criterion C.</w:t>
      </w:r>
    </w:p>
    <w:p w:rsidR="007E6CAE" w:rsidRPr="007E6CAE" w:rsidRDefault="007E6CAE" w:rsidP="007E6CAE">
      <w:pPr>
        <w:pStyle w:val="ListParagraph"/>
        <w:spacing w:line="240" w:lineRule="auto"/>
        <w:ind w:left="1080"/>
        <w:rPr>
          <w:rFonts w:eastAsia="Times New Roman" w:cs="Times New Roman"/>
        </w:rPr>
      </w:pPr>
    </w:p>
    <w:p w:rsidR="007E6CAE" w:rsidRPr="00B824EC" w:rsidRDefault="007E6CAE" w:rsidP="007E6CAE">
      <w:pPr>
        <w:pStyle w:val="ListParagraph"/>
        <w:spacing w:line="240" w:lineRule="auto"/>
        <w:ind w:left="900"/>
        <w:rPr>
          <w:rFonts w:eastAsia="Times New Roman" w:cs="Times New Roman"/>
        </w:rPr>
      </w:pPr>
    </w:p>
    <w:p w:rsidR="006C17FA" w:rsidRDefault="006C17FA">
      <w:pPr>
        <w:rPr>
          <w:rFonts w:eastAsia="Times New Roman" w:cs="Times New Roman"/>
          <w:b/>
          <w:bCs/>
        </w:rPr>
      </w:pPr>
      <w:r>
        <w:rPr>
          <w:rFonts w:eastAsia="Times New Roman" w:cs="Times New Roman"/>
          <w:b/>
          <w:bCs/>
        </w:rPr>
        <w:br w:type="page"/>
      </w:r>
    </w:p>
    <w:p w:rsidR="00982666" w:rsidRPr="001F123C" w:rsidRDefault="00982666" w:rsidP="00172DB8">
      <w:pPr>
        <w:autoSpaceDE w:val="0"/>
        <w:autoSpaceDN w:val="0"/>
        <w:adjustRightInd w:val="0"/>
        <w:spacing w:line="240" w:lineRule="auto"/>
        <w:jc w:val="center"/>
        <w:rPr>
          <w:rFonts w:eastAsia="Times New Roman" w:cs="Times New Roman"/>
          <w:b/>
          <w:bCs/>
        </w:rPr>
      </w:pPr>
      <w:r w:rsidRPr="001F123C">
        <w:rPr>
          <w:rFonts w:eastAsia="Times New Roman" w:cs="Times New Roman"/>
          <w:b/>
          <w:bCs/>
        </w:rPr>
        <w:lastRenderedPageBreak/>
        <w:t>II.</w:t>
      </w:r>
      <w:r w:rsidRPr="001F123C">
        <w:rPr>
          <w:rFonts w:eastAsia="Times New Roman" w:cs="Times New Roman"/>
          <w:b/>
          <w:bCs/>
        </w:rPr>
        <w:tab/>
        <w:t>CONCLUSIONS OF LAW</w:t>
      </w:r>
    </w:p>
    <w:p w:rsidR="00982666" w:rsidRPr="001F123C" w:rsidRDefault="00982666" w:rsidP="00172DB8">
      <w:pPr>
        <w:tabs>
          <w:tab w:val="left" w:pos="442"/>
        </w:tabs>
        <w:autoSpaceDE w:val="0"/>
        <w:autoSpaceDN w:val="0"/>
        <w:adjustRightInd w:val="0"/>
        <w:spacing w:line="240" w:lineRule="auto"/>
        <w:rPr>
          <w:rFonts w:eastAsia="Times New Roman" w:cs="Times New Roman"/>
          <w:b/>
          <w:bCs/>
        </w:rPr>
      </w:pPr>
    </w:p>
    <w:p w:rsidR="00D220D2" w:rsidRDefault="00D220D2" w:rsidP="00D220D2">
      <w:pPr>
        <w:pStyle w:val="ListParagraph"/>
        <w:numPr>
          <w:ilvl w:val="0"/>
          <w:numId w:val="5"/>
        </w:numPr>
        <w:autoSpaceDE w:val="0"/>
        <w:autoSpaceDN w:val="0"/>
        <w:adjustRightInd w:val="0"/>
        <w:spacing w:line="240" w:lineRule="auto"/>
      </w:pPr>
      <w:r w:rsidRPr="00547E34">
        <w:t xml:space="preserve">The MPCA </w:t>
      </w:r>
      <w:r>
        <w:t>c</w:t>
      </w:r>
      <w:r w:rsidRPr="00547E34">
        <w:t xml:space="preserve">ommissioner is authorized by Minn. Stat. § 116.03, </w:t>
      </w:r>
      <w:proofErr w:type="spellStart"/>
      <w:r w:rsidRPr="00547E34">
        <w:t>subd</w:t>
      </w:r>
      <w:proofErr w:type="spellEnd"/>
      <w:r w:rsidRPr="00547E34">
        <w:t>. 1(c) to decide on behalf of the MPCA whether to grant or deny the Petitioner</w:t>
      </w:r>
      <w:r>
        <w:t>’</w:t>
      </w:r>
      <w:r w:rsidRPr="00547E34">
        <w:t>s request for a Contested Case Hearing in this matter</w:t>
      </w:r>
      <w:r>
        <w:t xml:space="preserve">, thereby meeting the requirement </w:t>
      </w:r>
      <w:proofErr w:type="gramStart"/>
      <w:r>
        <w:t xml:space="preserve">of  </w:t>
      </w:r>
      <w:r w:rsidRPr="00D163EB">
        <w:t>Minn</w:t>
      </w:r>
      <w:proofErr w:type="gramEnd"/>
      <w:r w:rsidRPr="00D163EB">
        <w:t xml:space="preserve">. R. 7000.1900, </w:t>
      </w:r>
      <w:proofErr w:type="spellStart"/>
      <w:r w:rsidRPr="00D163EB">
        <w:t>subp</w:t>
      </w:r>
      <w:proofErr w:type="spellEnd"/>
      <w:r w:rsidRPr="00D163EB">
        <w:t>. 1(B) to show</w:t>
      </w:r>
      <w:r>
        <w:t xml:space="preserve"> </w:t>
      </w:r>
      <w:r w:rsidRPr="00D163EB">
        <w:t xml:space="preserve">the commissioner has the jurisdiction to make a determination on </w:t>
      </w:r>
      <w:r>
        <w:t>a disputed material issue of fact.</w:t>
      </w:r>
    </w:p>
    <w:p w:rsidR="00D220D2" w:rsidRDefault="00D220D2" w:rsidP="00D220D2">
      <w:pPr>
        <w:pStyle w:val="ListParagraph"/>
        <w:autoSpaceDE w:val="0"/>
        <w:autoSpaceDN w:val="0"/>
        <w:adjustRightInd w:val="0"/>
        <w:spacing w:line="240" w:lineRule="auto"/>
      </w:pPr>
    </w:p>
    <w:p w:rsidR="00D220D2" w:rsidRPr="00D220D2" w:rsidRDefault="007C6801" w:rsidP="00D220D2">
      <w:pPr>
        <w:pStyle w:val="ListParagraph"/>
        <w:numPr>
          <w:ilvl w:val="0"/>
          <w:numId w:val="5"/>
        </w:numPr>
        <w:autoSpaceDE w:val="0"/>
        <w:autoSpaceDN w:val="0"/>
        <w:adjustRightInd w:val="0"/>
        <w:spacing w:line="240" w:lineRule="auto"/>
      </w:pPr>
      <w:r w:rsidRPr="00D220D2">
        <w:rPr>
          <w:rFonts w:eastAsia="Times New Roman" w:cs="Times New Roman"/>
        </w:rPr>
        <w:t xml:space="preserve">Due, adequate and timely public notice of the proposed </w:t>
      </w:r>
      <w:r w:rsidRPr="00D220D2">
        <w:rPr>
          <w:rFonts w:eastAsia="Times New Roman" w:cs="Times New Roman"/>
          <w:i/>
        </w:rPr>
        <w:t xml:space="preserve">Little Rock Creek </w:t>
      </w:r>
      <w:r w:rsidR="00FC57E8" w:rsidRPr="00D220D2">
        <w:rPr>
          <w:rFonts w:eastAsia="Times New Roman" w:cs="Times New Roman"/>
          <w:i/>
        </w:rPr>
        <w:t>TMDL</w:t>
      </w:r>
      <w:r w:rsidR="00BE033C" w:rsidRPr="00D220D2">
        <w:rPr>
          <w:rFonts w:eastAsia="Times New Roman" w:cs="Times New Roman"/>
        </w:rPr>
        <w:t xml:space="preserve"> </w:t>
      </w:r>
      <w:proofErr w:type="gramStart"/>
      <w:r w:rsidRPr="00D220D2">
        <w:rPr>
          <w:rFonts w:eastAsia="Times New Roman" w:cs="Times New Roman"/>
        </w:rPr>
        <w:t>was given</w:t>
      </w:r>
      <w:proofErr w:type="gramEnd"/>
      <w:r w:rsidRPr="00D220D2">
        <w:rPr>
          <w:rFonts w:eastAsia="Times New Roman" w:cs="Times New Roman"/>
        </w:rPr>
        <w:t xml:space="preserve"> in accordance with Minn. R. 7001.0100, </w:t>
      </w:r>
      <w:proofErr w:type="spellStart"/>
      <w:r w:rsidRPr="00D220D2">
        <w:rPr>
          <w:rFonts w:eastAsia="Times New Roman" w:cs="Times New Roman"/>
        </w:rPr>
        <w:t>subps</w:t>
      </w:r>
      <w:proofErr w:type="spellEnd"/>
      <w:r w:rsidRPr="00D220D2">
        <w:rPr>
          <w:rFonts w:eastAsia="Times New Roman" w:cs="Times New Roman"/>
        </w:rPr>
        <w:t xml:space="preserve">. </w:t>
      </w:r>
      <w:proofErr w:type="gramStart"/>
      <w:r w:rsidRPr="00D220D2">
        <w:rPr>
          <w:rFonts w:eastAsia="Times New Roman" w:cs="Times New Roman"/>
        </w:rPr>
        <w:t>4</w:t>
      </w:r>
      <w:proofErr w:type="gramEnd"/>
      <w:r w:rsidRPr="00D220D2">
        <w:rPr>
          <w:rFonts w:eastAsia="Times New Roman" w:cs="Times New Roman"/>
        </w:rPr>
        <w:t xml:space="preserve"> and 5.</w:t>
      </w:r>
    </w:p>
    <w:p w:rsidR="00D220D2" w:rsidRPr="00D220D2" w:rsidRDefault="00D220D2" w:rsidP="00D220D2">
      <w:pPr>
        <w:pStyle w:val="ListParagraph"/>
        <w:rPr>
          <w:rFonts w:eastAsia="Times New Roman" w:cs="Times New Roman"/>
        </w:rPr>
      </w:pPr>
    </w:p>
    <w:p w:rsidR="00D220D2" w:rsidRPr="00D220D2" w:rsidRDefault="007C6801" w:rsidP="00D220D2">
      <w:pPr>
        <w:pStyle w:val="ListParagraph"/>
        <w:numPr>
          <w:ilvl w:val="0"/>
          <w:numId w:val="5"/>
        </w:numPr>
        <w:autoSpaceDE w:val="0"/>
        <w:autoSpaceDN w:val="0"/>
        <w:adjustRightInd w:val="0"/>
        <w:spacing w:line="240" w:lineRule="auto"/>
      </w:pPr>
      <w:r w:rsidRPr="00D220D2">
        <w:rPr>
          <w:rFonts w:eastAsia="Times New Roman" w:cs="Times New Roman"/>
        </w:rPr>
        <w:t xml:space="preserve">The CCH A and CCH B Petitions for a Contested Case Hearing </w:t>
      </w:r>
      <w:proofErr w:type="gramStart"/>
      <w:r w:rsidRPr="00D220D2">
        <w:rPr>
          <w:rFonts w:eastAsia="Times New Roman" w:cs="Times New Roman"/>
        </w:rPr>
        <w:t>were timely received</w:t>
      </w:r>
      <w:proofErr w:type="gramEnd"/>
      <w:r w:rsidRPr="00D220D2">
        <w:rPr>
          <w:rFonts w:eastAsia="Times New Roman" w:cs="Times New Roman"/>
        </w:rPr>
        <w:t>.</w:t>
      </w:r>
    </w:p>
    <w:p w:rsidR="00D220D2" w:rsidRPr="00D220D2" w:rsidRDefault="00D220D2" w:rsidP="00D220D2">
      <w:pPr>
        <w:pStyle w:val="ListParagraph"/>
        <w:rPr>
          <w:rFonts w:eastAsia="Times New Roman" w:cs="Times New Roman"/>
        </w:rPr>
      </w:pPr>
    </w:p>
    <w:p w:rsidR="00D220D2" w:rsidRPr="00D220D2" w:rsidRDefault="007C6801" w:rsidP="00D220D2">
      <w:pPr>
        <w:pStyle w:val="ListParagraph"/>
        <w:numPr>
          <w:ilvl w:val="0"/>
          <w:numId w:val="5"/>
        </w:numPr>
        <w:autoSpaceDE w:val="0"/>
        <w:autoSpaceDN w:val="0"/>
        <w:adjustRightInd w:val="0"/>
        <w:spacing w:line="240" w:lineRule="auto"/>
      </w:pPr>
      <w:r w:rsidRPr="00D220D2">
        <w:rPr>
          <w:rFonts w:eastAsia="Times New Roman" w:cs="Times New Roman"/>
        </w:rPr>
        <w:t xml:space="preserve">The </w:t>
      </w:r>
      <w:r w:rsidR="00BE033C" w:rsidRPr="00D220D2">
        <w:rPr>
          <w:rFonts w:eastAsia="Times New Roman" w:cs="Times New Roman"/>
        </w:rPr>
        <w:t xml:space="preserve">letter received by the MPCA on March 29, 2013, requesting a contested case hearing </w:t>
      </w:r>
      <w:proofErr w:type="gramStart"/>
      <w:r w:rsidR="00BE033C" w:rsidRPr="00D220D2">
        <w:rPr>
          <w:rFonts w:eastAsia="Times New Roman" w:cs="Times New Roman"/>
        </w:rPr>
        <w:t xml:space="preserve">was </w:t>
      </w:r>
      <w:r w:rsidR="00FC57E8" w:rsidRPr="00D220D2">
        <w:rPr>
          <w:rFonts w:eastAsia="Times New Roman" w:cs="Times New Roman"/>
        </w:rPr>
        <w:t>n</w:t>
      </w:r>
      <w:r w:rsidR="00BE033C" w:rsidRPr="00D220D2">
        <w:rPr>
          <w:rFonts w:eastAsia="Times New Roman" w:cs="Times New Roman"/>
        </w:rPr>
        <w:t>ot timely received</w:t>
      </w:r>
      <w:proofErr w:type="gramEnd"/>
      <w:r w:rsidR="00BE033C" w:rsidRPr="00D220D2">
        <w:rPr>
          <w:rFonts w:eastAsia="Times New Roman" w:cs="Times New Roman"/>
        </w:rPr>
        <w:t xml:space="preserve">. </w:t>
      </w:r>
    </w:p>
    <w:p w:rsidR="00D220D2" w:rsidRPr="00D220D2" w:rsidRDefault="00D220D2" w:rsidP="00D220D2">
      <w:pPr>
        <w:pStyle w:val="ListParagraph"/>
        <w:rPr>
          <w:rFonts w:eastAsia="Times New Roman" w:cs="Times New Roman"/>
        </w:rPr>
      </w:pPr>
    </w:p>
    <w:p w:rsidR="00D220D2" w:rsidRDefault="00982666" w:rsidP="00D220D2">
      <w:pPr>
        <w:pStyle w:val="ListParagraph"/>
        <w:numPr>
          <w:ilvl w:val="0"/>
          <w:numId w:val="5"/>
        </w:numPr>
        <w:autoSpaceDE w:val="0"/>
        <w:autoSpaceDN w:val="0"/>
        <w:adjustRightInd w:val="0"/>
        <w:spacing w:line="240" w:lineRule="auto"/>
      </w:pPr>
      <w:r w:rsidRPr="00D220D2">
        <w:rPr>
          <w:rFonts w:eastAsia="Times New Roman" w:cs="Times New Roman"/>
        </w:rPr>
        <w:t xml:space="preserve">The MPCA determines the </w:t>
      </w:r>
      <w:r w:rsidR="00477B72" w:rsidRPr="00D220D2">
        <w:rPr>
          <w:rFonts w:eastAsia="Times New Roman" w:cs="Times New Roman"/>
        </w:rPr>
        <w:t>issues raised by petitioners</w:t>
      </w:r>
      <w:r w:rsidRPr="00D220D2">
        <w:rPr>
          <w:rFonts w:eastAsia="Times New Roman" w:cs="Times New Roman"/>
        </w:rPr>
        <w:t xml:space="preserve"> on the </w:t>
      </w:r>
      <w:r w:rsidR="00D220D2" w:rsidRPr="00D220D2">
        <w:rPr>
          <w:rFonts w:eastAsia="Times New Roman" w:cs="Times New Roman"/>
        </w:rPr>
        <w:t>proposed</w:t>
      </w:r>
      <w:r w:rsidRPr="00D220D2">
        <w:rPr>
          <w:rFonts w:eastAsia="Times New Roman" w:cs="Times New Roman"/>
        </w:rPr>
        <w:t xml:space="preserve"> </w:t>
      </w:r>
      <w:r w:rsidR="008D6999" w:rsidRPr="00D220D2">
        <w:rPr>
          <w:rFonts w:eastAsia="Times New Roman" w:cs="Times New Roman"/>
          <w:i/>
        </w:rPr>
        <w:t>Little Rock Creek</w:t>
      </w:r>
      <w:r w:rsidRPr="00D220D2">
        <w:rPr>
          <w:rFonts w:eastAsia="Times New Roman" w:cs="Times New Roman"/>
          <w:i/>
        </w:rPr>
        <w:t xml:space="preserve"> TMDL </w:t>
      </w:r>
      <w:r w:rsidRPr="00D220D2">
        <w:rPr>
          <w:rFonts w:eastAsia="Times New Roman" w:cs="Times New Roman"/>
        </w:rPr>
        <w:t>do not meet the requirements for gr</w:t>
      </w:r>
      <w:r w:rsidR="00D220D2" w:rsidRPr="00D220D2">
        <w:rPr>
          <w:rFonts w:eastAsia="Times New Roman" w:cs="Times New Roman"/>
        </w:rPr>
        <w:t xml:space="preserve">anting a Contested Case Hearing </w:t>
      </w:r>
      <w:r w:rsidR="00D220D2" w:rsidRPr="00866EB9">
        <w:t>because the petitions fail to meet the requirements of criteria A</w:t>
      </w:r>
      <w:r w:rsidR="006C17FA">
        <w:t>, B</w:t>
      </w:r>
      <w:r w:rsidR="00D220D2" w:rsidRPr="00866EB9">
        <w:t xml:space="preserve"> and C of Minn. R. 7000.1900</w:t>
      </w:r>
      <w:r w:rsidR="00D220D2">
        <w:t xml:space="preserve">, </w:t>
      </w:r>
      <w:r w:rsidR="00D220D2" w:rsidRPr="00866EB9">
        <w:t>and therefore, the petitions should be denied, based upon the reasons set forth in this document.</w:t>
      </w:r>
    </w:p>
    <w:p w:rsidR="00D220D2" w:rsidRPr="00D220D2" w:rsidRDefault="00D220D2" w:rsidP="00D220D2">
      <w:pPr>
        <w:pStyle w:val="ListParagraph"/>
        <w:rPr>
          <w:rFonts w:eastAsia="Times New Roman" w:cs="Times New Roman"/>
        </w:rPr>
      </w:pPr>
    </w:p>
    <w:p w:rsidR="00772BB0" w:rsidRPr="00D220D2" w:rsidRDefault="00772BB0" w:rsidP="00D220D2">
      <w:pPr>
        <w:pStyle w:val="ListParagraph"/>
        <w:numPr>
          <w:ilvl w:val="0"/>
          <w:numId w:val="5"/>
        </w:numPr>
        <w:autoSpaceDE w:val="0"/>
        <w:autoSpaceDN w:val="0"/>
        <w:adjustRightInd w:val="0"/>
        <w:spacing w:line="240" w:lineRule="auto"/>
      </w:pPr>
      <w:r w:rsidRPr="00D220D2">
        <w:rPr>
          <w:rFonts w:eastAsia="Times New Roman" w:cs="Times New Roman"/>
        </w:rPr>
        <w:t xml:space="preserve">Any finding more properly considered a conclusion </w:t>
      </w:r>
      <w:proofErr w:type="gramStart"/>
      <w:r w:rsidRPr="00D220D2">
        <w:rPr>
          <w:rFonts w:eastAsia="Times New Roman" w:cs="Times New Roman"/>
        </w:rPr>
        <w:t>shall be considered</w:t>
      </w:r>
      <w:proofErr w:type="gramEnd"/>
      <w:r w:rsidRPr="00D220D2">
        <w:rPr>
          <w:rFonts w:eastAsia="Times New Roman" w:cs="Times New Roman"/>
        </w:rPr>
        <w:t xml:space="preserve"> a conclusion. Any conclusion more properly considered a finding </w:t>
      </w:r>
      <w:proofErr w:type="gramStart"/>
      <w:r w:rsidRPr="00D220D2">
        <w:rPr>
          <w:rFonts w:eastAsia="Times New Roman" w:cs="Times New Roman"/>
        </w:rPr>
        <w:t>shall be considered</w:t>
      </w:r>
      <w:proofErr w:type="gramEnd"/>
      <w:r w:rsidRPr="00D220D2">
        <w:rPr>
          <w:rFonts w:eastAsia="Times New Roman" w:cs="Times New Roman"/>
        </w:rPr>
        <w:t xml:space="preserve"> a finding. </w:t>
      </w:r>
    </w:p>
    <w:p w:rsidR="00287E40" w:rsidRDefault="00287E40" w:rsidP="00172DB8">
      <w:pPr>
        <w:keepNext/>
        <w:autoSpaceDE w:val="0"/>
        <w:autoSpaceDN w:val="0"/>
        <w:adjustRightInd w:val="0"/>
        <w:spacing w:line="240" w:lineRule="auto"/>
        <w:jc w:val="center"/>
        <w:rPr>
          <w:rFonts w:eastAsia="Times New Roman" w:cs="Times New Roman"/>
          <w:b/>
          <w:bCs/>
        </w:rPr>
      </w:pPr>
    </w:p>
    <w:p w:rsidR="00982666" w:rsidRPr="001F123C" w:rsidRDefault="00982666" w:rsidP="00172DB8">
      <w:pPr>
        <w:keepNext/>
        <w:autoSpaceDE w:val="0"/>
        <w:autoSpaceDN w:val="0"/>
        <w:adjustRightInd w:val="0"/>
        <w:spacing w:line="240" w:lineRule="auto"/>
        <w:jc w:val="center"/>
        <w:rPr>
          <w:rFonts w:eastAsia="Times New Roman" w:cs="Times New Roman"/>
          <w:b/>
          <w:bCs/>
        </w:rPr>
      </w:pPr>
      <w:r w:rsidRPr="001F123C">
        <w:rPr>
          <w:rFonts w:eastAsia="Times New Roman" w:cs="Times New Roman"/>
          <w:b/>
          <w:bCs/>
        </w:rPr>
        <w:t>III.</w:t>
      </w:r>
      <w:r w:rsidRPr="001F123C">
        <w:rPr>
          <w:rFonts w:eastAsia="Times New Roman" w:cs="Times New Roman"/>
          <w:b/>
          <w:bCs/>
        </w:rPr>
        <w:tab/>
        <w:t>ORDER</w:t>
      </w:r>
    </w:p>
    <w:p w:rsidR="00982666" w:rsidRPr="001F123C" w:rsidRDefault="00982666" w:rsidP="00172DB8">
      <w:pPr>
        <w:keepNext/>
        <w:tabs>
          <w:tab w:val="left" w:pos="385"/>
          <w:tab w:val="left" w:pos="725"/>
        </w:tabs>
        <w:autoSpaceDE w:val="0"/>
        <w:autoSpaceDN w:val="0"/>
        <w:adjustRightInd w:val="0"/>
        <w:spacing w:line="240" w:lineRule="auto"/>
        <w:rPr>
          <w:rFonts w:eastAsia="Times New Roman" w:cs="Times New Roman"/>
          <w:b/>
          <w:bCs/>
        </w:rPr>
      </w:pPr>
    </w:p>
    <w:p w:rsidR="00C25171" w:rsidRPr="007359B3" w:rsidRDefault="00C25171" w:rsidP="00172DB8">
      <w:pPr>
        <w:keepNext/>
        <w:autoSpaceDE w:val="0"/>
        <w:autoSpaceDN w:val="0"/>
        <w:adjustRightInd w:val="0"/>
        <w:spacing w:line="240" w:lineRule="auto"/>
        <w:ind w:left="720" w:hanging="720"/>
      </w:pPr>
      <w:r w:rsidRPr="007359B3">
        <w:t xml:space="preserve">All of the Petitions for Contested Case Hearing </w:t>
      </w:r>
      <w:proofErr w:type="gramStart"/>
      <w:r w:rsidRPr="007359B3">
        <w:t>are hereby denied</w:t>
      </w:r>
      <w:proofErr w:type="gramEnd"/>
      <w:r w:rsidRPr="007359B3">
        <w:t xml:space="preserve"> in their entirety.</w:t>
      </w:r>
    </w:p>
    <w:p w:rsidR="00982666" w:rsidRPr="001F123C" w:rsidRDefault="00982666" w:rsidP="00172DB8">
      <w:pPr>
        <w:keepNext/>
        <w:tabs>
          <w:tab w:val="left" w:pos="204"/>
        </w:tabs>
        <w:autoSpaceDE w:val="0"/>
        <w:autoSpaceDN w:val="0"/>
        <w:adjustRightInd w:val="0"/>
        <w:spacing w:line="240" w:lineRule="auto"/>
        <w:rPr>
          <w:rFonts w:eastAsia="Times New Roman" w:cs="Times New Roman"/>
        </w:rPr>
      </w:pPr>
    </w:p>
    <w:p w:rsidR="00982666" w:rsidRPr="001F123C" w:rsidRDefault="00982666" w:rsidP="00172DB8">
      <w:pPr>
        <w:keepNext/>
        <w:tabs>
          <w:tab w:val="left" w:pos="204"/>
        </w:tabs>
        <w:autoSpaceDE w:val="0"/>
        <w:autoSpaceDN w:val="0"/>
        <w:adjustRightInd w:val="0"/>
        <w:spacing w:line="240" w:lineRule="auto"/>
        <w:rPr>
          <w:rFonts w:eastAsia="Times New Roman" w:cs="Times New Roman"/>
        </w:rPr>
      </w:pPr>
      <w:r w:rsidRPr="001F123C">
        <w:rPr>
          <w:rFonts w:eastAsia="Times New Roman" w:cs="Times New Roman"/>
        </w:rPr>
        <w:t xml:space="preserve">The </w:t>
      </w:r>
      <w:r w:rsidR="00C25171">
        <w:rPr>
          <w:rFonts w:eastAsia="Times New Roman" w:cs="Times New Roman"/>
        </w:rPr>
        <w:t xml:space="preserve">Draft </w:t>
      </w:r>
      <w:r w:rsidR="008D6999" w:rsidRPr="00B1007E">
        <w:rPr>
          <w:rFonts w:eastAsia="Times New Roman" w:cs="Times New Roman"/>
          <w:i/>
        </w:rPr>
        <w:t>Little Rock Creek</w:t>
      </w:r>
      <w:r w:rsidRPr="00B1007E">
        <w:rPr>
          <w:rFonts w:eastAsia="Times New Roman" w:cs="Times New Roman"/>
          <w:i/>
        </w:rPr>
        <w:t xml:space="preserve"> </w:t>
      </w:r>
      <w:r w:rsidR="00F646B7" w:rsidRPr="00B1007E">
        <w:rPr>
          <w:rFonts w:eastAsia="Times New Roman" w:cs="Times New Roman"/>
          <w:i/>
        </w:rPr>
        <w:t>Dissolved Oxygen (DO), Nitrate, Temperature</w:t>
      </w:r>
      <w:r w:rsidR="00C25171" w:rsidRPr="00B1007E">
        <w:rPr>
          <w:rFonts w:eastAsia="Times New Roman" w:cs="Times New Roman"/>
          <w:i/>
        </w:rPr>
        <w:t>,</w:t>
      </w:r>
      <w:r w:rsidR="00F646B7" w:rsidRPr="00B1007E">
        <w:rPr>
          <w:rFonts w:eastAsia="Times New Roman" w:cs="Times New Roman"/>
          <w:i/>
        </w:rPr>
        <w:t xml:space="preserve"> and Fish </w:t>
      </w:r>
      <w:proofErr w:type="spellStart"/>
      <w:r w:rsidR="00F646B7" w:rsidRPr="00B1007E">
        <w:rPr>
          <w:rFonts w:eastAsia="Times New Roman" w:cs="Times New Roman"/>
          <w:i/>
        </w:rPr>
        <w:t>Bioassessment</w:t>
      </w:r>
      <w:proofErr w:type="spellEnd"/>
      <w:r w:rsidR="00F646B7" w:rsidRPr="00B1007E">
        <w:rPr>
          <w:rFonts w:eastAsia="Times New Roman" w:cs="Times New Roman"/>
          <w:i/>
        </w:rPr>
        <w:t xml:space="preserve"> </w:t>
      </w:r>
      <w:r w:rsidRPr="00B1007E">
        <w:rPr>
          <w:rFonts w:eastAsia="Times New Roman" w:cs="Times New Roman"/>
          <w:i/>
        </w:rPr>
        <w:t>TMDL</w:t>
      </w:r>
      <w:r w:rsidRPr="001F123C">
        <w:rPr>
          <w:rFonts w:eastAsia="Times New Roman" w:cs="Times New Roman"/>
        </w:rPr>
        <w:t xml:space="preserve"> </w:t>
      </w:r>
      <w:proofErr w:type="gramStart"/>
      <w:r w:rsidRPr="001F123C">
        <w:rPr>
          <w:rFonts w:eastAsia="Times New Roman" w:cs="Times New Roman"/>
        </w:rPr>
        <w:t>shall be sent</w:t>
      </w:r>
      <w:proofErr w:type="gramEnd"/>
      <w:r w:rsidRPr="001F123C">
        <w:rPr>
          <w:rFonts w:eastAsia="Times New Roman" w:cs="Times New Roman"/>
        </w:rPr>
        <w:t xml:space="preserve"> to U.S. EPA for approval.</w:t>
      </w:r>
    </w:p>
    <w:p w:rsidR="00982666" w:rsidRPr="001F123C" w:rsidRDefault="00982666" w:rsidP="00172DB8">
      <w:pPr>
        <w:keepNext/>
        <w:tabs>
          <w:tab w:val="left" w:pos="204"/>
        </w:tabs>
        <w:autoSpaceDE w:val="0"/>
        <w:autoSpaceDN w:val="0"/>
        <w:adjustRightInd w:val="0"/>
        <w:spacing w:line="240" w:lineRule="auto"/>
        <w:rPr>
          <w:rFonts w:eastAsia="Times New Roman" w:cs="Times New Roman"/>
        </w:rPr>
      </w:pPr>
    </w:p>
    <w:p w:rsidR="00982666" w:rsidRPr="001F123C" w:rsidRDefault="00982666" w:rsidP="00172DB8">
      <w:pPr>
        <w:keepNext/>
        <w:tabs>
          <w:tab w:val="left" w:pos="204"/>
        </w:tabs>
        <w:autoSpaceDE w:val="0"/>
        <w:autoSpaceDN w:val="0"/>
        <w:adjustRightInd w:val="0"/>
        <w:spacing w:line="240" w:lineRule="auto"/>
        <w:rPr>
          <w:rFonts w:eastAsia="Times New Roman" w:cs="Times New Roman"/>
          <w:b/>
          <w:bCs/>
        </w:rPr>
      </w:pPr>
      <w:r w:rsidRPr="001F123C">
        <w:rPr>
          <w:rFonts w:eastAsia="Times New Roman" w:cs="Times New Roman"/>
          <w:b/>
          <w:bCs/>
        </w:rPr>
        <w:t>IT IS SO ORDERED:</w:t>
      </w:r>
    </w:p>
    <w:p w:rsidR="00982666" w:rsidRPr="001F123C" w:rsidRDefault="00982666" w:rsidP="00172DB8">
      <w:pPr>
        <w:tabs>
          <w:tab w:val="left" w:pos="204"/>
        </w:tabs>
        <w:autoSpaceDE w:val="0"/>
        <w:autoSpaceDN w:val="0"/>
        <w:adjustRightInd w:val="0"/>
        <w:spacing w:line="240" w:lineRule="auto"/>
        <w:rPr>
          <w:rFonts w:eastAsia="Times New Roman" w:cs="Times New Roman"/>
          <w:b/>
          <w:bCs/>
        </w:rPr>
      </w:pPr>
    </w:p>
    <w:p w:rsidR="00982666" w:rsidRPr="001F123C" w:rsidRDefault="00982666" w:rsidP="00172DB8">
      <w:pPr>
        <w:tabs>
          <w:tab w:val="left" w:pos="204"/>
        </w:tabs>
        <w:autoSpaceDE w:val="0"/>
        <w:autoSpaceDN w:val="0"/>
        <w:adjustRightInd w:val="0"/>
        <w:spacing w:line="240" w:lineRule="auto"/>
        <w:rPr>
          <w:rFonts w:eastAsia="Times New Roman" w:cs="Times New Roman"/>
          <w:b/>
          <w:bCs/>
        </w:rPr>
      </w:pPr>
    </w:p>
    <w:p w:rsidR="00982666" w:rsidRPr="001F123C" w:rsidRDefault="00982666" w:rsidP="00172DB8">
      <w:pPr>
        <w:tabs>
          <w:tab w:val="left" w:pos="204"/>
        </w:tabs>
        <w:autoSpaceDE w:val="0"/>
        <w:autoSpaceDN w:val="0"/>
        <w:adjustRightInd w:val="0"/>
        <w:spacing w:line="240" w:lineRule="auto"/>
        <w:rPr>
          <w:rFonts w:eastAsia="Times New Roman" w:cs="Times New Roman"/>
          <w:bCs/>
          <w:u w:val="single"/>
        </w:rPr>
      </w:pPr>
      <w:r w:rsidRPr="001F123C">
        <w:rPr>
          <w:rFonts w:eastAsia="Times New Roman" w:cs="Times New Roman"/>
          <w:bCs/>
          <w:u w:val="single"/>
        </w:rPr>
        <w:tab/>
      </w:r>
      <w:r w:rsidRPr="001F123C">
        <w:rPr>
          <w:rFonts w:eastAsia="Times New Roman" w:cs="Times New Roman"/>
          <w:bCs/>
          <w:u w:val="single"/>
        </w:rPr>
        <w:tab/>
      </w:r>
      <w:r w:rsidRPr="001F123C">
        <w:rPr>
          <w:rFonts w:eastAsia="Times New Roman" w:cs="Times New Roman"/>
          <w:bCs/>
          <w:u w:val="single"/>
        </w:rPr>
        <w:tab/>
      </w:r>
      <w:r w:rsidRPr="001F123C">
        <w:rPr>
          <w:rFonts w:eastAsia="Times New Roman" w:cs="Times New Roman"/>
          <w:bCs/>
          <w:u w:val="single"/>
        </w:rPr>
        <w:tab/>
      </w:r>
      <w:r w:rsidRPr="001F123C">
        <w:rPr>
          <w:rFonts w:eastAsia="Times New Roman" w:cs="Times New Roman"/>
          <w:bCs/>
          <w:u w:val="single"/>
        </w:rPr>
        <w:tab/>
      </w:r>
      <w:r w:rsidRPr="001F123C">
        <w:rPr>
          <w:rFonts w:eastAsia="Times New Roman" w:cs="Times New Roman"/>
          <w:bCs/>
          <w:u w:val="single"/>
        </w:rPr>
        <w:tab/>
      </w:r>
      <w:r w:rsidRPr="001F123C">
        <w:rPr>
          <w:rFonts w:eastAsia="Times New Roman" w:cs="Times New Roman"/>
          <w:bCs/>
          <w:u w:val="single"/>
        </w:rPr>
        <w:tab/>
      </w:r>
    </w:p>
    <w:p w:rsidR="00982666" w:rsidRPr="001F123C" w:rsidRDefault="00C406DF" w:rsidP="00172DB8">
      <w:pPr>
        <w:autoSpaceDE w:val="0"/>
        <w:autoSpaceDN w:val="0"/>
        <w:adjustRightInd w:val="0"/>
        <w:spacing w:line="240" w:lineRule="auto"/>
        <w:rPr>
          <w:rFonts w:eastAsia="Times New Roman" w:cs="Times New Roman"/>
        </w:rPr>
      </w:pPr>
      <w:r w:rsidRPr="001F123C">
        <w:rPr>
          <w:rFonts w:eastAsia="Times New Roman" w:cs="Times New Roman"/>
        </w:rPr>
        <w:t xml:space="preserve">John </w:t>
      </w:r>
      <w:proofErr w:type="spellStart"/>
      <w:r w:rsidRPr="001F123C">
        <w:rPr>
          <w:rFonts w:eastAsia="Times New Roman" w:cs="Times New Roman"/>
        </w:rPr>
        <w:t>Li</w:t>
      </w:r>
      <w:r w:rsidR="00982666" w:rsidRPr="001F123C">
        <w:rPr>
          <w:rFonts w:eastAsia="Times New Roman" w:cs="Times New Roman"/>
        </w:rPr>
        <w:t>nc</w:t>
      </w:r>
      <w:proofErr w:type="spellEnd"/>
      <w:r w:rsidR="00982666" w:rsidRPr="001F123C">
        <w:rPr>
          <w:rFonts w:eastAsia="Times New Roman" w:cs="Times New Roman"/>
        </w:rPr>
        <w:t xml:space="preserve"> Stine</w:t>
      </w:r>
    </w:p>
    <w:p w:rsidR="00982666" w:rsidRPr="001F123C" w:rsidRDefault="00982666" w:rsidP="00172DB8">
      <w:pPr>
        <w:autoSpaceDE w:val="0"/>
        <w:autoSpaceDN w:val="0"/>
        <w:adjustRightInd w:val="0"/>
        <w:spacing w:line="240" w:lineRule="auto"/>
        <w:rPr>
          <w:rFonts w:eastAsia="Times New Roman" w:cs="Times New Roman"/>
        </w:rPr>
      </w:pPr>
      <w:r w:rsidRPr="001F123C">
        <w:rPr>
          <w:rFonts w:eastAsia="Times New Roman" w:cs="Times New Roman"/>
        </w:rPr>
        <w:t>Commissioner</w:t>
      </w:r>
    </w:p>
    <w:p w:rsidR="00982666" w:rsidRPr="001F123C" w:rsidRDefault="00982666" w:rsidP="00172DB8">
      <w:pPr>
        <w:autoSpaceDE w:val="0"/>
        <w:autoSpaceDN w:val="0"/>
        <w:adjustRightInd w:val="0"/>
        <w:spacing w:line="240" w:lineRule="auto"/>
        <w:rPr>
          <w:rFonts w:eastAsia="Times New Roman" w:cs="Times New Roman"/>
        </w:rPr>
      </w:pPr>
      <w:r w:rsidRPr="001F123C">
        <w:rPr>
          <w:rFonts w:eastAsia="Times New Roman" w:cs="Times New Roman"/>
        </w:rPr>
        <w:t>Minnesota Pollution Control Agency</w:t>
      </w:r>
    </w:p>
    <w:p w:rsidR="00982666" w:rsidRPr="001F123C" w:rsidRDefault="00982666" w:rsidP="00172DB8">
      <w:pPr>
        <w:tabs>
          <w:tab w:val="left" w:pos="4297"/>
        </w:tabs>
        <w:autoSpaceDE w:val="0"/>
        <w:autoSpaceDN w:val="0"/>
        <w:adjustRightInd w:val="0"/>
        <w:spacing w:line="240" w:lineRule="auto"/>
        <w:rPr>
          <w:rFonts w:eastAsia="Times New Roman" w:cs="Times New Roman"/>
        </w:rPr>
      </w:pPr>
    </w:p>
    <w:p w:rsidR="00982666" w:rsidRPr="001F123C" w:rsidRDefault="00982666" w:rsidP="00172DB8">
      <w:pPr>
        <w:tabs>
          <w:tab w:val="left" w:pos="204"/>
        </w:tabs>
        <w:autoSpaceDE w:val="0"/>
        <w:autoSpaceDN w:val="0"/>
        <w:adjustRightInd w:val="0"/>
        <w:spacing w:line="240" w:lineRule="auto"/>
        <w:rPr>
          <w:rFonts w:eastAsia="Times New Roman" w:cs="Times New Roman"/>
          <w:u w:val="single"/>
        </w:rPr>
      </w:pPr>
      <w:r w:rsidRPr="001F123C">
        <w:rPr>
          <w:rFonts w:eastAsia="Times New Roman" w:cs="Times New Roman"/>
          <w:u w:val="single"/>
        </w:rPr>
        <w:tab/>
      </w:r>
      <w:r w:rsidRPr="001F123C">
        <w:rPr>
          <w:rFonts w:eastAsia="Times New Roman" w:cs="Times New Roman"/>
          <w:u w:val="single"/>
        </w:rPr>
        <w:tab/>
      </w:r>
      <w:r w:rsidRPr="001F123C">
        <w:rPr>
          <w:rFonts w:eastAsia="Times New Roman" w:cs="Times New Roman"/>
          <w:u w:val="single"/>
        </w:rPr>
        <w:tab/>
      </w:r>
      <w:r w:rsidRPr="001F123C">
        <w:rPr>
          <w:rFonts w:eastAsia="Times New Roman" w:cs="Times New Roman"/>
          <w:u w:val="single"/>
        </w:rPr>
        <w:tab/>
      </w:r>
      <w:r w:rsidRPr="001F123C">
        <w:rPr>
          <w:rFonts w:eastAsia="Times New Roman" w:cs="Times New Roman"/>
          <w:u w:val="single"/>
        </w:rPr>
        <w:tab/>
      </w:r>
      <w:r w:rsidRPr="001F123C">
        <w:rPr>
          <w:rFonts w:eastAsia="Times New Roman" w:cs="Times New Roman"/>
          <w:u w:val="single"/>
        </w:rPr>
        <w:tab/>
      </w:r>
      <w:r w:rsidRPr="001F123C">
        <w:rPr>
          <w:rFonts w:eastAsia="Times New Roman" w:cs="Times New Roman"/>
          <w:u w:val="single"/>
        </w:rPr>
        <w:tab/>
      </w:r>
    </w:p>
    <w:p w:rsidR="00082DA8" w:rsidRDefault="00982666" w:rsidP="00172DB8">
      <w:pPr>
        <w:tabs>
          <w:tab w:val="left" w:pos="4297"/>
        </w:tabs>
        <w:autoSpaceDE w:val="0"/>
        <w:autoSpaceDN w:val="0"/>
        <w:adjustRightInd w:val="0"/>
        <w:spacing w:line="240" w:lineRule="auto"/>
        <w:rPr>
          <w:rFonts w:eastAsia="Times New Roman" w:cs="Times New Roman"/>
        </w:rPr>
      </w:pPr>
      <w:r w:rsidRPr="001F123C">
        <w:rPr>
          <w:rFonts w:eastAsia="Times New Roman" w:cs="Times New Roman"/>
        </w:rPr>
        <w:t>Date</w:t>
      </w:r>
    </w:p>
    <w:p w:rsidR="00082DA8" w:rsidRPr="007359B3" w:rsidRDefault="00082DA8" w:rsidP="00172DB8">
      <w:pPr>
        <w:spacing w:line="240" w:lineRule="auto"/>
        <w:rPr>
          <w:rFonts w:eastAsia="Calibri" w:cs="Arial"/>
          <w:b/>
        </w:rPr>
      </w:pPr>
      <w:r>
        <w:rPr>
          <w:rFonts w:eastAsia="Times New Roman" w:cs="Times New Roman"/>
        </w:rPr>
        <w:br w:type="page"/>
      </w:r>
      <w:r w:rsidRPr="007359B3">
        <w:rPr>
          <w:rFonts w:eastAsia="Calibri" w:cs="Arial"/>
          <w:b/>
        </w:rPr>
        <w:lastRenderedPageBreak/>
        <w:t xml:space="preserve">Appendix A – </w:t>
      </w:r>
      <w:r>
        <w:rPr>
          <w:rFonts w:eastAsia="Calibri" w:cs="Arial"/>
          <w:b/>
        </w:rPr>
        <w:t xml:space="preserve">Comment Letters and </w:t>
      </w:r>
      <w:r w:rsidRPr="007359B3">
        <w:rPr>
          <w:rFonts w:eastAsia="Calibri" w:cs="Arial"/>
          <w:b/>
        </w:rPr>
        <w:t>Petitions for Contested Case Hearing</w:t>
      </w:r>
    </w:p>
    <w:p w:rsidR="00082DA8" w:rsidRDefault="00082DA8" w:rsidP="00172DB8">
      <w:pPr>
        <w:spacing w:line="240" w:lineRule="auto"/>
        <w:rPr>
          <w:rFonts w:eastAsia="Calibri" w:cs="Arial"/>
        </w:rPr>
      </w:pPr>
    </w:p>
    <w:p w:rsidR="00082DA8" w:rsidRDefault="00082DA8" w:rsidP="00172DB8">
      <w:pPr>
        <w:spacing w:line="240" w:lineRule="auto"/>
        <w:rPr>
          <w:rFonts w:eastAsia="Calibri" w:cs="Arial"/>
        </w:rPr>
      </w:pPr>
      <w:r>
        <w:rPr>
          <w:rFonts w:eastAsia="Calibri" w:cs="Arial"/>
        </w:rPr>
        <w:t xml:space="preserve">All comment letters submitted to MPCA during the public comment period on the Draft </w:t>
      </w:r>
      <w:r w:rsidRPr="001F123C">
        <w:rPr>
          <w:rFonts w:eastAsia="Times New Roman" w:cs="Times New Roman"/>
        </w:rPr>
        <w:t>Little Rock Creek Dissolved Oxygen (DO), Nitrate, Temperature</w:t>
      </w:r>
      <w:r>
        <w:rPr>
          <w:rFonts w:eastAsia="Times New Roman" w:cs="Times New Roman"/>
        </w:rPr>
        <w:t>,</w:t>
      </w:r>
      <w:r w:rsidRPr="001F123C">
        <w:rPr>
          <w:rFonts w:eastAsia="Times New Roman" w:cs="Times New Roman"/>
        </w:rPr>
        <w:t xml:space="preserve"> and Fish </w:t>
      </w:r>
      <w:proofErr w:type="spellStart"/>
      <w:r w:rsidRPr="001F123C">
        <w:rPr>
          <w:rFonts w:eastAsia="Times New Roman" w:cs="Times New Roman"/>
        </w:rPr>
        <w:t>Bioassessment</w:t>
      </w:r>
      <w:proofErr w:type="spellEnd"/>
      <w:r>
        <w:rPr>
          <w:rFonts w:eastAsia="Calibri" w:cs="Arial"/>
        </w:rPr>
        <w:t xml:space="preserve"> TMDL are included on the following pages. Because of their length, documents that were submitted as attachments to comment letters can be found at: </w:t>
      </w:r>
      <w:hyperlink r:id="rId24" w:history="1">
        <w:r w:rsidRPr="00AC5E37">
          <w:rPr>
            <w:rStyle w:val="Hyperlink"/>
            <w:rFonts w:eastAsia="Calibri" w:cs="Arial"/>
          </w:rPr>
          <w:t>http://www.pca.state.mn.us/</w:t>
        </w:r>
      </w:hyperlink>
      <w:proofErr w:type="gramStart"/>
      <w:r>
        <w:rPr>
          <w:rStyle w:val="Hyperlink"/>
          <w:rFonts w:eastAsia="Calibri" w:cs="Arial"/>
        </w:rPr>
        <w:t>....</w:t>
      </w:r>
      <w:r>
        <w:rPr>
          <w:rFonts w:eastAsia="Calibri" w:cs="Arial"/>
        </w:rPr>
        <w:t>.</w:t>
      </w:r>
      <w:proofErr w:type="gramEnd"/>
      <w:r>
        <w:rPr>
          <w:rFonts w:eastAsia="Calibri" w:cs="Arial"/>
        </w:rPr>
        <w:t xml:space="preserve"> The documents at the listed website </w:t>
      </w:r>
      <w:proofErr w:type="gramStart"/>
      <w:r>
        <w:rPr>
          <w:rFonts w:eastAsia="Calibri" w:cs="Arial"/>
        </w:rPr>
        <w:t>are hereby incorporated</w:t>
      </w:r>
      <w:proofErr w:type="gramEnd"/>
      <w:r>
        <w:rPr>
          <w:rFonts w:eastAsia="Calibri" w:cs="Arial"/>
        </w:rPr>
        <w:t xml:space="preserve"> by reference into this Appendix A and are thereby made a part of the administrative record supporting the Order of the commissioner in this matter.</w:t>
      </w:r>
    </w:p>
    <w:p w:rsidR="00082DA8" w:rsidRDefault="00082DA8" w:rsidP="00172DB8">
      <w:pPr>
        <w:spacing w:line="240" w:lineRule="auto"/>
        <w:rPr>
          <w:rFonts w:eastAsia="Times New Roman" w:cs="Times New Roman"/>
        </w:rPr>
      </w:pPr>
    </w:p>
    <w:p w:rsidR="00082DA8" w:rsidRDefault="00082DA8" w:rsidP="00172DB8">
      <w:pPr>
        <w:spacing w:line="240" w:lineRule="auto"/>
        <w:rPr>
          <w:rFonts w:eastAsia="Times New Roman" w:cs="Times New Roman"/>
        </w:rPr>
      </w:pPr>
      <w:r>
        <w:rPr>
          <w:rFonts w:eastAsia="Times New Roman" w:cs="Times New Roman"/>
        </w:rPr>
        <w:br w:type="page"/>
      </w:r>
    </w:p>
    <w:p w:rsidR="00082DA8" w:rsidRPr="007359B3" w:rsidRDefault="00082DA8" w:rsidP="00172DB8">
      <w:pPr>
        <w:spacing w:line="240" w:lineRule="auto"/>
        <w:rPr>
          <w:rFonts w:eastAsia="Calibri"/>
          <w:b/>
        </w:rPr>
      </w:pPr>
      <w:r w:rsidRPr="007359B3">
        <w:rPr>
          <w:rFonts w:eastAsia="Calibri"/>
          <w:b/>
        </w:rPr>
        <w:lastRenderedPageBreak/>
        <w:t>APPENDIX B – MPCA’s Response to Comments</w:t>
      </w:r>
    </w:p>
    <w:p w:rsidR="00982666" w:rsidRPr="001F123C" w:rsidRDefault="00982666" w:rsidP="00172DB8">
      <w:pPr>
        <w:tabs>
          <w:tab w:val="left" w:pos="4297"/>
        </w:tabs>
        <w:autoSpaceDE w:val="0"/>
        <w:autoSpaceDN w:val="0"/>
        <w:adjustRightInd w:val="0"/>
        <w:spacing w:line="240" w:lineRule="auto"/>
        <w:rPr>
          <w:rFonts w:eastAsia="Times New Roman" w:cs="Times New Roman"/>
        </w:rPr>
      </w:pPr>
    </w:p>
    <w:sectPr w:rsidR="00982666" w:rsidRPr="001F123C" w:rsidSect="004930AA">
      <w:headerReference w:type="default" r:id="rId25"/>
      <w:footerReference w:type="default" r:id="rId26"/>
      <w:pgSz w:w="12240" w:h="15840" w:code="1"/>
      <w:pgMar w:top="1440" w:right="1440" w:bottom="1440" w:left="1440" w:header="720" w:footer="720" w:gutter="0"/>
      <w:paperSrc w:first="1280" w:other="128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41" w:rsidRDefault="00DF6E41" w:rsidP="008D6999">
      <w:pPr>
        <w:spacing w:line="240" w:lineRule="auto"/>
      </w:pPr>
      <w:r>
        <w:separator/>
      </w:r>
    </w:p>
  </w:endnote>
  <w:endnote w:type="continuationSeparator" w:id="0">
    <w:p w:rsidR="00DF6E41" w:rsidRDefault="00DF6E41" w:rsidP="008D6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35" w:rsidRDefault="00293E35" w:rsidP="002D4D50">
    <w:pPr>
      <w:pStyle w:val="Footer"/>
      <w:jc w:val="center"/>
    </w:pPr>
    <w:r>
      <w:rPr>
        <w:rStyle w:val="PageNumber"/>
      </w:rPr>
      <w:fldChar w:fldCharType="begin"/>
    </w:r>
    <w:r>
      <w:rPr>
        <w:rStyle w:val="PageNumber"/>
      </w:rPr>
      <w:instrText xml:space="preserve"> PAGE </w:instrText>
    </w:r>
    <w:r>
      <w:rPr>
        <w:rStyle w:val="PageNumber"/>
      </w:rPr>
      <w:fldChar w:fldCharType="separate"/>
    </w:r>
    <w:r w:rsidR="002003B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41" w:rsidRDefault="00DF6E41" w:rsidP="008D6999">
      <w:pPr>
        <w:spacing w:line="240" w:lineRule="auto"/>
      </w:pPr>
      <w:r>
        <w:separator/>
      </w:r>
    </w:p>
  </w:footnote>
  <w:footnote w:type="continuationSeparator" w:id="0">
    <w:p w:rsidR="00DF6E41" w:rsidRDefault="00DF6E41" w:rsidP="008D6999">
      <w:pPr>
        <w:spacing w:line="240" w:lineRule="auto"/>
      </w:pPr>
      <w:r>
        <w:continuationSeparator/>
      </w:r>
    </w:p>
  </w:footnote>
  <w:footnote w:id="1">
    <w:p w:rsidR="00CB4992" w:rsidRDefault="00CB4992">
      <w:pPr>
        <w:pStyle w:val="FootnoteText"/>
      </w:pPr>
      <w:r>
        <w:rPr>
          <w:rStyle w:val="FootnoteReference"/>
        </w:rPr>
        <w:footnoteRef/>
      </w:r>
      <w:r>
        <w:t xml:space="preserve"> </w:t>
      </w:r>
      <w:proofErr w:type="gramStart"/>
      <w:r>
        <w:t xml:space="preserve">Minn. R. 7000.1900 </w:t>
      </w:r>
      <w:proofErr w:type="spellStart"/>
      <w:r>
        <w:t>subp</w:t>
      </w:r>
      <w:proofErr w:type="spellEnd"/>
      <w:r>
        <w:t>.</w:t>
      </w:r>
      <w:proofErr w:type="gramEnd"/>
      <w:r>
        <w:t xml:space="preserve"> </w:t>
      </w:r>
      <w:proofErr w:type="gramStart"/>
      <w:r>
        <w:t>1</w:t>
      </w:r>
      <w:proofErr w:type="gramEnd"/>
      <w:r>
        <w:t xml:space="preserve"> refers to “board or commissioner,” however, 2015 Minn. Law </w:t>
      </w:r>
      <w:proofErr w:type="spellStart"/>
      <w:r w:rsidR="00B72C4C">
        <w:t>ch.</w:t>
      </w:r>
      <w:proofErr w:type="spellEnd"/>
      <w:r w:rsidR="00B72C4C">
        <w:t xml:space="preserve"> 4, sec. 114, eliminated the MPCA board and transferred all powers previously resting with the board to the commissioner.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68" w:rsidRPr="00706168" w:rsidRDefault="00BD5068" w:rsidP="00BD5068">
    <w:pPr>
      <w:pStyle w:val="Header"/>
      <w:rPr>
        <w:sz w:val="20"/>
      </w:rPr>
    </w:pPr>
    <w:r w:rsidRPr="00706168">
      <w:rPr>
        <w:sz w:val="20"/>
      </w:rPr>
      <w:t>Little Rock Creek TMDL Study</w:t>
    </w:r>
    <w:r w:rsidRPr="00706168">
      <w:rPr>
        <w:sz w:val="20"/>
      </w:rPr>
      <w:tab/>
    </w:r>
    <w:r w:rsidRPr="00706168">
      <w:rPr>
        <w:sz w:val="20"/>
      </w:rPr>
      <w:tab/>
      <w:t>Findings of Fact,</w:t>
    </w:r>
  </w:p>
  <w:p w:rsidR="00BD5068" w:rsidRPr="00706168" w:rsidRDefault="00BD5068" w:rsidP="00BD5068">
    <w:pPr>
      <w:pStyle w:val="Header"/>
      <w:rPr>
        <w:sz w:val="20"/>
      </w:rPr>
    </w:pPr>
    <w:r w:rsidRPr="00706168">
      <w:rPr>
        <w:sz w:val="20"/>
      </w:rPr>
      <w:t>Petition for Contested Case Hearing</w:t>
    </w:r>
    <w:r w:rsidRPr="00706168">
      <w:rPr>
        <w:sz w:val="20"/>
      </w:rPr>
      <w:tab/>
    </w:r>
    <w:r w:rsidRPr="00706168">
      <w:rPr>
        <w:sz w:val="20"/>
      </w:rPr>
      <w:tab/>
      <w:t>Conclusions of Law, and Order</w:t>
    </w:r>
  </w:p>
  <w:p w:rsidR="00293E35" w:rsidRPr="004F0FA5" w:rsidRDefault="00293E35" w:rsidP="00BD5068">
    <w:pPr>
      <w:widowControl w:val="0"/>
      <w:tabs>
        <w:tab w:val="right" w:pos="9360"/>
      </w:tabs>
      <w:autoSpaceDE w:val="0"/>
      <w:autoSpaceDN w:val="0"/>
      <w:adjustRightInd w:val="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51B"/>
    <w:multiLevelType w:val="hybridMultilevel"/>
    <w:tmpl w:val="22FEB424"/>
    <w:lvl w:ilvl="0" w:tplc="C7FCBD1A">
      <w:start w:val="1"/>
      <w:numFmt w:val="decimal"/>
      <w:lvlText w:val="%1."/>
      <w:lvlJc w:val="left"/>
      <w:pPr>
        <w:ind w:left="720"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15B0"/>
    <w:multiLevelType w:val="multilevel"/>
    <w:tmpl w:val="5E28B1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980" w:hanging="360"/>
      </w:pPr>
    </w:lvl>
    <w:lvl w:ilvl="7">
      <w:start w:val="1"/>
      <w:numFmt w:val="lowerLetter"/>
      <w:lvlText w:val="%8."/>
      <w:lvlJc w:val="left"/>
      <w:pPr>
        <w:ind w:left="2880" w:hanging="360"/>
      </w:pPr>
    </w:lvl>
    <w:lvl w:ilvl="8">
      <w:start w:val="1"/>
      <w:numFmt w:val="bullet"/>
      <w:lvlText w:val=""/>
      <w:lvlJc w:val="left"/>
      <w:pPr>
        <w:ind w:left="2340" w:hanging="360"/>
      </w:pPr>
      <w:rPr>
        <w:rFonts w:ascii="Symbol" w:hAnsi="Symbol" w:hint="default"/>
        <w:sz w:val="24"/>
        <w:szCs w:val="24"/>
      </w:rPr>
    </w:lvl>
  </w:abstractNum>
  <w:abstractNum w:abstractNumId="2">
    <w:nsid w:val="0CF96FD2"/>
    <w:multiLevelType w:val="hybridMultilevel"/>
    <w:tmpl w:val="F89C0320"/>
    <w:lvl w:ilvl="0" w:tplc="20D03CE6">
      <w:start w:val="1"/>
      <w:numFmt w:val="decimal"/>
      <w:lvlText w:val="%1."/>
      <w:lvlJc w:val="left"/>
      <w:pPr>
        <w:ind w:left="1080" w:hanging="720"/>
      </w:pPr>
      <w:rPr>
        <w:rFonts w:hint="default"/>
        <w:b w:val="0"/>
        <w:i w:val="0"/>
        <w:strike w:val="0"/>
        <w:color w:val="auto"/>
      </w:rPr>
    </w:lvl>
    <w:lvl w:ilvl="1" w:tplc="04090019">
      <w:start w:val="1"/>
      <w:numFmt w:val="lowerLetter"/>
      <w:lvlText w:val="%2."/>
      <w:lvlJc w:val="left"/>
      <w:pPr>
        <w:ind w:left="2160" w:hanging="720"/>
      </w:pPr>
      <w:rPr>
        <w:rFonts w:hint="default"/>
      </w:rPr>
    </w:lvl>
    <w:lvl w:ilvl="2" w:tplc="47CA6496">
      <w:start w:val="1"/>
      <w:numFmt w:val="lowerLetter"/>
      <w:lvlText w:val="%3."/>
      <w:lvlJc w:val="left"/>
      <w:pPr>
        <w:ind w:left="2510" w:hanging="720"/>
      </w:pPr>
      <w:rPr>
        <w:rFonts w:hint="default"/>
        <w:i w:val="0"/>
        <w:u w:val="none"/>
      </w:rPr>
    </w:lvl>
    <w:lvl w:ilvl="3" w:tplc="AB2E91C2">
      <w:start w:val="1"/>
      <w:numFmt w:val="lowerRoman"/>
      <w:lvlText w:val="(%4)"/>
      <w:lvlJc w:val="left"/>
      <w:pPr>
        <w:ind w:left="3600" w:hanging="720"/>
      </w:pPr>
      <w:rPr>
        <w:rFonts w:hint="default"/>
      </w:rPr>
    </w:lvl>
    <w:lvl w:ilvl="4" w:tplc="04090019">
      <w:start w:val="1"/>
      <w:numFmt w:val="lowerLetter"/>
      <w:lvlText w:val="%5."/>
      <w:lvlJc w:val="left"/>
      <w:pPr>
        <w:ind w:left="3960" w:hanging="360"/>
      </w:pPr>
    </w:lvl>
    <w:lvl w:ilvl="5" w:tplc="B0D8FDB8">
      <w:start w:val="1"/>
      <w:numFmt w:val="upperLetter"/>
      <w:lvlText w:val="%6."/>
      <w:lvlJc w:val="left"/>
      <w:pPr>
        <w:ind w:left="5220" w:hanging="720"/>
      </w:pPr>
      <w:rPr>
        <w:rFonts w:hint="default"/>
      </w:rPr>
    </w:lvl>
    <w:lvl w:ilvl="6" w:tplc="A33CD4CC">
      <w:start w:val="1"/>
      <w:numFmt w:val="lowerLetter"/>
      <w:lvlText w:val="(%7)"/>
      <w:lvlJc w:val="left"/>
      <w:pPr>
        <w:ind w:left="2040" w:hanging="360"/>
      </w:pPr>
      <w:rPr>
        <w:rFonts w:hint="default"/>
      </w:r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9E18BA"/>
    <w:multiLevelType w:val="hybridMultilevel"/>
    <w:tmpl w:val="81E4A85A"/>
    <w:lvl w:ilvl="0" w:tplc="89F606E6">
      <w:start w:val="1"/>
      <w:numFmt w:val="lowerRoman"/>
      <w:lvlText w:val="%1."/>
      <w:lvlJc w:val="left"/>
      <w:pPr>
        <w:ind w:left="216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28657DB"/>
    <w:multiLevelType w:val="hybridMultilevel"/>
    <w:tmpl w:val="5D167E84"/>
    <w:lvl w:ilvl="0" w:tplc="89F606E6">
      <w:start w:val="1"/>
      <w:numFmt w:val="lowerRoman"/>
      <w:lvlText w:val="%1."/>
      <w:lvlJc w:val="left"/>
      <w:pPr>
        <w:ind w:left="2010" w:hanging="360"/>
      </w:pPr>
      <w:rPr>
        <w:rFonts w:hint="default"/>
        <w:b w:val="0"/>
      </w:rPr>
    </w:lvl>
    <w:lvl w:ilvl="1" w:tplc="0409001B">
      <w:start w:val="1"/>
      <w:numFmt w:val="lowerRoman"/>
      <w:lvlText w:val="%2."/>
      <w:lvlJc w:val="right"/>
      <w:pPr>
        <w:ind w:left="40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E1615"/>
    <w:multiLevelType w:val="hybridMultilevel"/>
    <w:tmpl w:val="D100A26E"/>
    <w:lvl w:ilvl="0" w:tplc="C7FCBD1A">
      <w:start w:val="1"/>
      <w:numFmt w:val="decimal"/>
      <w:lvlText w:val="%1."/>
      <w:lvlJc w:val="left"/>
      <w:pPr>
        <w:ind w:left="720"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57F47"/>
    <w:multiLevelType w:val="hybridMultilevel"/>
    <w:tmpl w:val="F324439C"/>
    <w:lvl w:ilvl="0" w:tplc="360EFE62">
      <w:start w:val="1"/>
      <w:numFmt w:val="decimal"/>
      <w:lvlText w:val="%1."/>
      <w:lvlJc w:val="left"/>
      <w:pPr>
        <w:ind w:left="720" w:hanging="360"/>
      </w:pPr>
      <w:rPr>
        <w:i w:val="0"/>
      </w:rPr>
    </w:lvl>
    <w:lvl w:ilvl="1" w:tplc="60FCFBB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E6051"/>
    <w:multiLevelType w:val="multilevel"/>
    <w:tmpl w:val="0FF22324"/>
    <w:lvl w:ilvl="0">
      <w:start w:val="1"/>
      <w:numFmt w:val="lowerRoman"/>
      <w:lvlText w:val="%1."/>
      <w:lvlJc w:val="right"/>
      <w:pPr>
        <w:ind w:left="2150" w:hanging="360"/>
      </w:pPr>
    </w:lvl>
    <w:lvl w:ilvl="1">
      <w:start w:val="1"/>
      <w:numFmt w:val="lowerLetter"/>
      <w:lvlText w:val="%2)"/>
      <w:lvlJc w:val="left"/>
      <w:pPr>
        <w:ind w:left="2510" w:hanging="360"/>
      </w:pPr>
    </w:lvl>
    <w:lvl w:ilvl="2">
      <w:start w:val="1"/>
      <w:numFmt w:val="lowerRoman"/>
      <w:lvlText w:val="%3)"/>
      <w:lvlJc w:val="left"/>
      <w:pPr>
        <w:ind w:left="2870" w:hanging="360"/>
      </w:pPr>
    </w:lvl>
    <w:lvl w:ilvl="3">
      <w:start w:val="1"/>
      <w:numFmt w:val="decimal"/>
      <w:lvlText w:val="(%4)"/>
      <w:lvlJc w:val="left"/>
      <w:pPr>
        <w:ind w:left="3230" w:hanging="360"/>
      </w:pPr>
    </w:lvl>
    <w:lvl w:ilvl="4">
      <w:start w:val="1"/>
      <w:numFmt w:val="lowerLetter"/>
      <w:lvlText w:val="(%5)"/>
      <w:lvlJc w:val="left"/>
      <w:pPr>
        <w:ind w:left="3590" w:hanging="360"/>
      </w:pPr>
    </w:lvl>
    <w:lvl w:ilvl="5">
      <w:start w:val="1"/>
      <w:numFmt w:val="lowerRoman"/>
      <w:lvlText w:val="(%6)"/>
      <w:lvlJc w:val="left"/>
      <w:pPr>
        <w:ind w:left="3800" w:hanging="360"/>
      </w:pPr>
    </w:lvl>
    <w:lvl w:ilvl="6">
      <w:start w:val="1"/>
      <w:numFmt w:val="decimal"/>
      <w:lvlText w:val="%7."/>
      <w:lvlJc w:val="left"/>
      <w:pPr>
        <w:ind w:left="3580" w:hanging="360"/>
      </w:pPr>
    </w:lvl>
    <w:lvl w:ilvl="7">
      <w:start w:val="1"/>
      <w:numFmt w:val="lowerLetter"/>
      <w:lvlText w:val="%8."/>
      <w:lvlJc w:val="left"/>
      <w:pPr>
        <w:ind w:left="4460" w:hanging="360"/>
      </w:pPr>
    </w:lvl>
    <w:lvl w:ilvl="8">
      <w:start w:val="1"/>
      <w:numFmt w:val="lowerRoman"/>
      <w:lvlText w:val="%9."/>
      <w:lvlJc w:val="left"/>
      <w:pPr>
        <w:ind w:left="2010" w:hanging="360"/>
      </w:pPr>
    </w:lvl>
  </w:abstractNum>
  <w:abstractNum w:abstractNumId="8">
    <w:nsid w:val="2C625B53"/>
    <w:multiLevelType w:val="hybridMultilevel"/>
    <w:tmpl w:val="B1DCB09A"/>
    <w:lvl w:ilvl="0" w:tplc="657A84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629EC"/>
    <w:multiLevelType w:val="hybridMultilevel"/>
    <w:tmpl w:val="CD56175C"/>
    <w:lvl w:ilvl="0" w:tplc="20D03CE6">
      <w:start w:val="1"/>
      <w:numFmt w:val="decimal"/>
      <w:lvlText w:val="%1."/>
      <w:lvlJc w:val="left"/>
      <w:pPr>
        <w:ind w:left="1080" w:hanging="720"/>
      </w:pPr>
      <w:rPr>
        <w:rFonts w:hint="default"/>
        <w:b w:val="0"/>
        <w:i w:val="0"/>
        <w:strike w:val="0"/>
        <w:color w:val="auto"/>
      </w:rPr>
    </w:lvl>
    <w:lvl w:ilvl="1" w:tplc="04090019">
      <w:start w:val="1"/>
      <w:numFmt w:val="lowerLetter"/>
      <w:lvlText w:val="%2."/>
      <w:lvlJc w:val="left"/>
      <w:pPr>
        <w:ind w:left="2160" w:hanging="720"/>
      </w:pPr>
      <w:rPr>
        <w:rFonts w:hint="default"/>
      </w:rPr>
    </w:lvl>
    <w:lvl w:ilvl="2" w:tplc="47CA6496">
      <w:start w:val="1"/>
      <w:numFmt w:val="lowerLetter"/>
      <w:lvlText w:val="%3."/>
      <w:lvlJc w:val="left"/>
      <w:pPr>
        <w:ind w:left="2510" w:hanging="720"/>
      </w:pPr>
      <w:rPr>
        <w:rFonts w:hint="default"/>
        <w:i w:val="0"/>
        <w:u w:val="none"/>
      </w:rPr>
    </w:lvl>
    <w:lvl w:ilvl="3" w:tplc="AB2E91C2">
      <w:start w:val="1"/>
      <w:numFmt w:val="lowerRoman"/>
      <w:lvlText w:val="(%4)"/>
      <w:lvlJc w:val="left"/>
      <w:pPr>
        <w:ind w:left="3600" w:hanging="720"/>
      </w:pPr>
      <w:rPr>
        <w:rFonts w:hint="default"/>
      </w:rPr>
    </w:lvl>
    <w:lvl w:ilvl="4" w:tplc="04090019">
      <w:start w:val="1"/>
      <w:numFmt w:val="lowerLetter"/>
      <w:lvlText w:val="%5."/>
      <w:lvlJc w:val="left"/>
      <w:pPr>
        <w:ind w:left="3960" w:hanging="360"/>
      </w:pPr>
    </w:lvl>
    <w:lvl w:ilvl="5" w:tplc="B0D8FDB8">
      <w:start w:val="1"/>
      <w:numFmt w:val="upperLetter"/>
      <w:lvlText w:val="%6."/>
      <w:lvlJc w:val="left"/>
      <w:pPr>
        <w:ind w:left="5220" w:hanging="720"/>
      </w:pPr>
      <w:rPr>
        <w:rFonts w:hint="default"/>
      </w:rPr>
    </w:lvl>
    <w:lvl w:ilvl="6" w:tplc="A33CD4CC">
      <w:start w:val="1"/>
      <w:numFmt w:val="lowerLetter"/>
      <w:lvlText w:val="(%7)"/>
      <w:lvlJc w:val="left"/>
      <w:pPr>
        <w:ind w:left="2040" w:hanging="360"/>
      </w:pPr>
      <w:rPr>
        <w:rFonts w:hint="default"/>
      </w:r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C234C49"/>
    <w:multiLevelType w:val="multilevel"/>
    <w:tmpl w:val="FBEC27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980" w:hanging="360"/>
      </w:pPr>
    </w:lvl>
    <w:lvl w:ilvl="7">
      <w:start w:val="1"/>
      <w:numFmt w:val="lowerLetter"/>
      <w:lvlText w:val="%8."/>
      <w:lvlJc w:val="left"/>
      <w:pPr>
        <w:ind w:left="2880" w:hanging="360"/>
      </w:pPr>
    </w:lvl>
    <w:lvl w:ilvl="8">
      <w:start w:val="1"/>
      <w:numFmt w:val="lowerRoman"/>
      <w:lvlText w:val="%9."/>
      <w:lvlJc w:val="left"/>
      <w:pPr>
        <w:ind w:left="2250" w:hanging="360"/>
      </w:pPr>
      <w:rPr>
        <w:sz w:val="24"/>
        <w:szCs w:val="24"/>
      </w:rPr>
    </w:lvl>
  </w:abstractNum>
  <w:abstractNum w:abstractNumId="11">
    <w:nsid w:val="3FDD551A"/>
    <w:multiLevelType w:val="hybridMultilevel"/>
    <w:tmpl w:val="1D58056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621A7A"/>
    <w:multiLevelType w:val="hybridMultilevel"/>
    <w:tmpl w:val="EEB083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0B8671C"/>
    <w:multiLevelType w:val="hybridMultilevel"/>
    <w:tmpl w:val="4728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102F8"/>
    <w:multiLevelType w:val="hybridMultilevel"/>
    <w:tmpl w:val="C4C0A94A"/>
    <w:lvl w:ilvl="0" w:tplc="86503202">
      <w:start w:val="1"/>
      <w:numFmt w:val="lowerLetter"/>
      <w:lvlText w:val="(%1)"/>
      <w:lvlJc w:val="left"/>
      <w:pPr>
        <w:ind w:left="2760" w:hanging="1440"/>
      </w:pPr>
      <w:rPr>
        <w:rFonts w:hint="default"/>
      </w:rPr>
    </w:lvl>
    <w:lvl w:ilvl="1" w:tplc="89F606E6">
      <w:start w:val="1"/>
      <w:numFmt w:val="lowerRoman"/>
      <w:lvlText w:val="%2."/>
      <w:lvlJc w:val="left"/>
      <w:pPr>
        <w:ind w:left="2370" w:hanging="720"/>
      </w:pPr>
      <w:rPr>
        <w:rFonts w:hint="default"/>
        <w:b w:val="0"/>
      </w:rPr>
    </w:lvl>
    <w:lvl w:ilvl="2" w:tplc="86503202">
      <w:start w:val="1"/>
      <w:numFmt w:val="lowerLetter"/>
      <w:lvlText w:val="(%3)"/>
      <w:lvlJc w:val="left"/>
      <w:pPr>
        <w:ind w:left="5580" w:hanging="72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54086D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6604EB"/>
    <w:multiLevelType w:val="hybridMultilevel"/>
    <w:tmpl w:val="04C09F02"/>
    <w:lvl w:ilvl="0" w:tplc="A55A1A20">
      <w:start w:val="6"/>
      <w:numFmt w:val="decimal"/>
      <w:lvlText w:val="%1."/>
      <w:lvlJc w:val="left"/>
      <w:pPr>
        <w:ind w:left="900" w:hanging="360"/>
      </w:pPr>
      <w:rPr>
        <w:rFonts w:hint="default"/>
        <w:i w:val="0"/>
      </w:rPr>
    </w:lvl>
    <w:lvl w:ilvl="1" w:tplc="689E121A">
      <w:start w:val="1"/>
      <w:numFmt w:val="decimal"/>
      <w:lvlText w:val="(%2)"/>
      <w:lvlJc w:val="left"/>
      <w:pPr>
        <w:ind w:left="1800" w:hanging="360"/>
      </w:pPr>
      <w:rPr>
        <w:rFonts w:hint="default"/>
      </w:rPr>
    </w:lvl>
    <w:lvl w:ilvl="2" w:tplc="56D6D2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C37AB0"/>
    <w:multiLevelType w:val="hybridMultilevel"/>
    <w:tmpl w:val="B6D238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CF00A9"/>
    <w:multiLevelType w:val="hybridMultilevel"/>
    <w:tmpl w:val="EFF67AB6"/>
    <w:lvl w:ilvl="0" w:tplc="657A84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B1B5B"/>
    <w:multiLevelType w:val="hybridMultilevel"/>
    <w:tmpl w:val="B3E00B64"/>
    <w:lvl w:ilvl="0" w:tplc="689E1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41A14E8"/>
    <w:multiLevelType w:val="hybridMultilevel"/>
    <w:tmpl w:val="90A470E6"/>
    <w:lvl w:ilvl="0" w:tplc="0409001B">
      <w:start w:val="1"/>
      <w:numFmt w:val="lowerRoman"/>
      <w:lvlText w:val="%1."/>
      <w:lvlJc w:val="right"/>
      <w:pPr>
        <w:ind w:left="1460" w:hanging="360"/>
      </w:pPr>
    </w:lvl>
    <w:lvl w:ilvl="1" w:tplc="04090019">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start w:val="1"/>
      <w:numFmt w:val="lowerRoman"/>
      <w:lvlText w:val="%9."/>
      <w:lvlJc w:val="right"/>
      <w:pPr>
        <w:ind w:left="3810" w:hanging="180"/>
      </w:pPr>
    </w:lvl>
  </w:abstractNum>
  <w:abstractNum w:abstractNumId="21">
    <w:nsid w:val="646429F3"/>
    <w:multiLevelType w:val="multilevel"/>
    <w:tmpl w:val="BE3CAE04"/>
    <w:lvl w:ilvl="0">
      <w:start w:val="1"/>
      <w:numFmt w:val="decimal"/>
      <w:lvlText w:val="%1)"/>
      <w:lvlJc w:val="left"/>
      <w:pPr>
        <w:ind w:left="99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980" w:hanging="360"/>
      </w:pPr>
    </w:lvl>
    <w:lvl w:ilvl="7">
      <w:start w:val="1"/>
      <w:numFmt w:val="lowerLetter"/>
      <w:lvlText w:val="%8."/>
      <w:lvlJc w:val="left"/>
      <w:pPr>
        <w:ind w:left="720" w:hanging="360"/>
      </w:pPr>
    </w:lvl>
    <w:lvl w:ilvl="8">
      <w:start w:val="1"/>
      <w:numFmt w:val="lowerRoman"/>
      <w:lvlText w:val="%9."/>
      <w:lvlJc w:val="left"/>
      <w:pPr>
        <w:ind w:left="2340" w:hanging="360"/>
      </w:pPr>
      <w:rPr>
        <w:sz w:val="24"/>
        <w:szCs w:val="24"/>
      </w:rPr>
    </w:lvl>
  </w:abstractNum>
  <w:abstractNum w:abstractNumId="22">
    <w:nsid w:val="78A40EC1"/>
    <w:multiLevelType w:val="hybridMultilevel"/>
    <w:tmpl w:val="E5E411B4"/>
    <w:lvl w:ilvl="0" w:tplc="A760AF5E">
      <w:start w:val="2"/>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4"/>
  </w:num>
  <w:num w:numId="3">
    <w:abstractNumId w:val="22"/>
  </w:num>
  <w:num w:numId="4">
    <w:abstractNumId w:val="3"/>
  </w:num>
  <w:num w:numId="5">
    <w:abstractNumId w:val="18"/>
  </w:num>
  <w:num w:numId="6">
    <w:abstractNumId w:val="17"/>
  </w:num>
  <w:num w:numId="7">
    <w:abstractNumId w:val="11"/>
  </w:num>
  <w:num w:numId="8">
    <w:abstractNumId w:val="8"/>
  </w:num>
  <w:num w:numId="9">
    <w:abstractNumId w:val="4"/>
  </w:num>
  <w:num w:numId="10">
    <w:abstractNumId w:val="21"/>
  </w:num>
  <w:num w:numId="11">
    <w:abstractNumId w:val="7"/>
  </w:num>
  <w:num w:numId="12">
    <w:abstractNumId w:val="12"/>
  </w:num>
  <w:num w:numId="13">
    <w:abstractNumId w:val="20"/>
  </w:num>
  <w:num w:numId="14">
    <w:abstractNumId w:val="15"/>
  </w:num>
  <w:num w:numId="15">
    <w:abstractNumId w:val="6"/>
  </w:num>
  <w:num w:numId="16">
    <w:abstractNumId w:val="1"/>
  </w:num>
  <w:num w:numId="17">
    <w:abstractNumId w:val="10"/>
  </w:num>
  <w:num w:numId="18">
    <w:abstractNumId w:val="16"/>
  </w:num>
  <w:num w:numId="19">
    <w:abstractNumId w:val="19"/>
  </w:num>
  <w:num w:numId="20">
    <w:abstractNumId w:val="0"/>
  </w:num>
  <w:num w:numId="21">
    <w:abstractNumId w:val="5"/>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66"/>
    <w:rsid w:val="0000137D"/>
    <w:rsid w:val="000016EB"/>
    <w:rsid w:val="0000716C"/>
    <w:rsid w:val="0000775D"/>
    <w:rsid w:val="00014D02"/>
    <w:rsid w:val="00020317"/>
    <w:rsid w:val="00020922"/>
    <w:rsid w:val="000216CB"/>
    <w:rsid w:val="00025F2C"/>
    <w:rsid w:val="00030E2C"/>
    <w:rsid w:val="000355A4"/>
    <w:rsid w:val="00035695"/>
    <w:rsid w:val="00041CBE"/>
    <w:rsid w:val="00043B87"/>
    <w:rsid w:val="0004788C"/>
    <w:rsid w:val="0005023C"/>
    <w:rsid w:val="00053761"/>
    <w:rsid w:val="000557AB"/>
    <w:rsid w:val="00061088"/>
    <w:rsid w:val="000651C4"/>
    <w:rsid w:val="00071B04"/>
    <w:rsid w:val="00076BA0"/>
    <w:rsid w:val="0008165F"/>
    <w:rsid w:val="00081851"/>
    <w:rsid w:val="00082DA8"/>
    <w:rsid w:val="00083C3F"/>
    <w:rsid w:val="000844C3"/>
    <w:rsid w:val="000874E5"/>
    <w:rsid w:val="0009162B"/>
    <w:rsid w:val="000968C4"/>
    <w:rsid w:val="000A12F3"/>
    <w:rsid w:val="000A5346"/>
    <w:rsid w:val="000A6601"/>
    <w:rsid w:val="000B24FD"/>
    <w:rsid w:val="000B3E83"/>
    <w:rsid w:val="000B4F8F"/>
    <w:rsid w:val="000B5BF7"/>
    <w:rsid w:val="000B5DDA"/>
    <w:rsid w:val="000C0D2E"/>
    <w:rsid w:val="000C420C"/>
    <w:rsid w:val="000D045C"/>
    <w:rsid w:val="000D264D"/>
    <w:rsid w:val="000D4D5B"/>
    <w:rsid w:val="000D7641"/>
    <w:rsid w:val="000D7AD6"/>
    <w:rsid w:val="000E0A78"/>
    <w:rsid w:val="000F77C5"/>
    <w:rsid w:val="000F7989"/>
    <w:rsid w:val="00100F7A"/>
    <w:rsid w:val="001110BE"/>
    <w:rsid w:val="00111556"/>
    <w:rsid w:val="001119C8"/>
    <w:rsid w:val="00112449"/>
    <w:rsid w:val="00112947"/>
    <w:rsid w:val="00112D52"/>
    <w:rsid w:val="00114085"/>
    <w:rsid w:val="0012023C"/>
    <w:rsid w:val="00120247"/>
    <w:rsid w:val="001240DE"/>
    <w:rsid w:val="00126081"/>
    <w:rsid w:val="00127F27"/>
    <w:rsid w:val="00133CBE"/>
    <w:rsid w:val="00143F74"/>
    <w:rsid w:val="00146246"/>
    <w:rsid w:val="00150184"/>
    <w:rsid w:val="00150BF3"/>
    <w:rsid w:val="00153621"/>
    <w:rsid w:val="0016245F"/>
    <w:rsid w:val="00163852"/>
    <w:rsid w:val="00165084"/>
    <w:rsid w:val="00165E33"/>
    <w:rsid w:val="00166ADB"/>
    <w:rsid w:val="00172DB8"/>
    <w:rsid w:val="00176EB4"/>
    <w:rsid w:val="00180684"/>
    <w:rsid w:val="0018139D"/>
    <w:rsid w:val="001823C3"/>
    <w:rsid w:val="00182553"/>
    <w:rsid w:val="00184415"/>
    <w:rsid w:val="0018465D"/>
    <w:rsid w:val="001866DC"/>
    <w:rsid w:val="001868EA"/>
    <w:rsid w:val="00187CDD"/>
    <w:rsid w:val="00190420"/>
    <w:rsid w:val="00190974"/>
    <w:rsid w:val="001931B4"/>
    <w:rsid w:val="001A102C"/>
    <w:rsid w:val="001A21BE"/>
    <w:rsid w:val="001A2E9D"/>
    <w:rsid w:val="001A656A"/>
    <w:rsid w:val="001A70AD"/>
    <w:rsid w:val="001B0041"/>
    <w:rsid w:val="001B1332"/>
    <w:rsid w:val="001B5155"/>
    <w:rsid w:val="001B628E"/>
    <w:rsid w:val="001C0173"/>
    <w:rsid w:val="001C53F6"/>
    <w:rsid w:val="001C6A48"/>
    <w:rsid w:val="001C7656"/>
    <w:rsid w:val="001D006C"/>
    <w:rsid w:val="001D30E9"/>
    <w:rsid w:val="001D3879"/>
    <w:rsid w:val="001D79ED"/>
    <w:rsid w:val="001E2D51"/>
    <w:rsid w:val="001F123C"/>
    <w:rsid w:val="001F4232"/>
    <w:rsid w:val="001F4AF6"/>
    <w:rsid w:val="001F69C0"/>
    <w:rsid w:val="001F6F99"/>
    <w:rsid w:val="002003B7"/>
    <w:rsid w:val="00200E7D"/>
    <w:rsid w:val="0020415E"/>
    <w:rsid w:val="00204989"/>
    <w:rsid w:val="00204FD1"/>
    <w:rsid w:val="00210851"/>
    <w:rsid w:val="00211B19"/>
    <w:rsid w:val="00211EF6"/>
    <w:rsid w:val="00221DAB"/>
    <w:rsid w:val="00222DB7"/>
    <w:rsid w:val="002239C3"/>
    <w:rsid w:val="002267EC"/>
    <w:rsid w:val="00227910"/>
    <w:rsid w:val="00232FD2"/>
    <w:rsid w:val="00242C81"/>
    <w:rsid w:val="00243DF8"/>
    <w:rsid w:val="0024613F"/>
    <w:rsid w:val="002555AD"/>
    <w:rsid w:val="00255E23"/>
    <w:rsid w:val="0026001F"/>
    <w:rsid w:val="0026215F"/>
    <w:rsid w:val="0026356B"/>
    <w:rsid w:val="002646F5"/>
    <w:rsid w:val="00265046"/>
    <w:rsid w:val="00272392"/>
    <w:rsid w:val="00280B16"/>
    <w:rsid w:val="0028236B"/>
    <w:rsid w:val="002837BF"/>
    <w:rsid w:val="002862A5"/>
    <w:rsid w:val="00287E40"/>
    <w:rsid w:val="002921C5"/>
    <w:rsid w:val="00292CA8"/>
    <w:rsid w:val="00293643"/>
    <w:rsid w:val="00293E35"/>
    <w:rsid w:val="002A0DE4"/>
    <w:rsid w:val="002A155A"/>
    <w:rsid w:val="002A1A16"/>
    <w:rsid w:val="002A55A0"/>
    <w:rsid w:val="002B1C22"/>
    <w:rsid w:val="002C044F"/>
    <w:rsid w:val="002C1421"/>
    <w:rsid w:val="002C72FF"/>
    <w:rsid w:val="002D220B"/>
    <w:rsid w:val="002D31CB"/>
    <w:rsid w:val="002D4D50"/>
    <w:rsid w:val="002D7A92"/>
    <w:rsid w:val="002E1E45"/>
    <w:rsid w:val="002E5B27"/>
    <w:rsid w:val="002F1377"/>
    <w:rsid w:val="002F6BB3"/>
    <w:rsid w:val="0030265A"/>
    <w:rsid w:val="00313EE2"/>
    <w:rsid w:val="003146CE"/>
    <w:rsid w:val="00324F99"/>
    <w:rsid w:val="00330CA5"/>
    <w:rsid w:val="00332A9F"/>
    <w:rsid w:val="00332B7A"/>
    <w:rsid w:val="003412CF"/>
    <w:rsid w:val="003510A2"/>
    <w:rsid w:val="0035236B"/>
    <w:rsid w:val="003564A0"/>
    <w:rsid w:val="00356833"/>
    <w:rsid w:val="0036016C"/>
    <w:rsid w:val="00360EBE"/>
    <w:rsid w:val="003631AF"/>
    <w:rsid w:val="0036443E"/>
    <w:rsid w:val="00374074"/>
    <w:rsid w:val="0037418B"/>
    <w:rsid w:val="00377A7F"/>
    <w:rsid w:val="00377FAF"/>
    <w:rsid w:val="0038521A"/>
    <w:rsid w:val="003953C7"/>
    <w:rsid w:val="003956A8"/>
    <w:rsid w:val="003A1E98"/>
    <w:rsid w:val="003A3613"/>
    <w:rsid w:val="003A3C6B"/>
    <w:rsid w:val="003B1CC9"/>
    <w:rsid w:val="003B2FC4"/>
    <w:rsid w:val="003C066F"/>
    <w:rsid w:val="003C2238"/>
    <w:rsid w:val="003C2907"/>
    <w:rsid w:val="003C378D"/>
    <w:rsid w:val="003C3B38"/>
    <w:rsid w:val="003C489E"/>
    <w:rsid w:val="003C507B"/>
    <w:rsid w:val="003D249E"/>
    <w:rsid w:val="003D5E6D"/>
    <w:rsid w:val="003E22D3"/>
    <w:rsid w:val="003E4C96"/>
    <w:rsid w:val="00400FE4"/>
    <w:rsid w:val="00403D83"/>
    <w:rsid w:val="00404283"/>
    <w:rsid w:val="00406642"/>
    <w:rsid w:val="00414953"/>
    <w:rsid w:val="00425115"/>
    <w:rsid w:val="004377DD"/>
    <w:rsid w:val="004474E4"/>
    <w:rsid w:val="00447866"/>
    <w:rsid w:val="00447A50"/>
    <w:rsid w:val="004571E0"/>
    <w:rsid w:val="0045730D"/>
    <w:rsid w:val="00460DE1"/>
    <w:rsid w:val="00460F1C"/>
    <w:rsid w:val="00464814"/>
    <w:rsid w:val="00465F77"/>
    <w:rsid w:val="00467C96"/>
    <w:rsid w:val="0047123D"/>
    <w:rsid w:val="00472EF9"/>
    <w:rsid w:val="00473677"/>
    <w:rsid w:val="00475EDA"/>
    <w:rsid w:val="00476004"/>
    <w:rsid w:val="00477B72"/>
    <w:rsid w:val="0048248C"/>
    <w:rsid w:val="00484CAD"/>
    <w:rsid w:val="00485A22"/>
    <w:rsid w:val="004862C2"/>
    <w:rsid w:val="004872AA"/>
    <w:rsid w:val="00492EF3"/>
    <w:rsid w:val="004930AA"/>
    <w:rsid w:val="00493B3F"/>
    <w:rsid w:val="00494F91"/>
    <w:rsid w:val="004A1CDF"/>
    <w:rsid w:val="004A1DBC"/>
    <w:rsid w:val="004A6C12"/>
    <w:rsid w:val="004B196F"/>
    <w:rsid w:val="004B590B"/>
    <w:rsid w:val="004B7F40"/>
    <w:rsid w:val="004C1BCD"/>
    <w:rsid w:val="004C2D4D"/>
    <w:rsid w:val="004C53A0"/>
    <w:rsid w:val="004D1E61"/>
    <w:rsid w:val="004E5F6C"/>
    <w:rsid w:val="004E6395"/>
    <w:rsid w:val="004F44BB"/>
    <w:rsid w:val="004F62F6"/>
    <w:rsid w:val="004F6D73"/>
    <w:rsid w:val="00500200"/>
    <w:rsid w:val="005005CC"/>
    <w:rsid w:val="00505D67"/>
    <w:rsid w:val="00515115"/>
    <w:rsid w:val="00522EFC"/>
    <w:rsid w:val="0053472C"/>
    <w:rsid w:val="00535471"/>
    <w:rsid w:val="00535E3C"/>
    <w:rsid w:val="0053638A"/>
    <w:rsid w:val="005431EA"/>
    <w:rsid w:val="00547F5A"/>
    <w:rsid w:val="0055163B"/>
    <w:rsid w:val="00553241"/>
    <w:rsid w:val="00554129"/>
    <w:rsid w:val="005628EE"/>
    <w:rsid w:val="00562DED"/>
    <w:rsid w:val="0056455B"/>
    <w:rsid w:val="005674C4"/>
    <w:rsid w:val="00570BA0"/>
    <w:rsid w:val="00572CA1"/>
    <w:rsid w:val="005754C6"/>
    <w:rsid w:val="00577DB1"/>
    <w:rsid w:val="00581361"/>
    <w:rsid w:val="00581FA7"/>
    <w:rsid w:val="00584C14"/>
    <w:rsid w:val="00586241"/>
    <w:rsid w:val="00587F3E"/>
    <w:rsid w:val="00592E6A"/>
    <w:rsid w:val="00595113"/>
    <w:rsid w:val="00595206"/>
    <w:rsid w:val="005968B9"/>
    <w:rsid w:val="005A0832"/>
    <w:rsid w:val="005A521C"/>
    <w:rsid w:val="005B3C51"/>
    <w:rsid w:val="005C36B5"/>
    <w:rsid w:val="005C4559"/>
    <w:rsid w:val="005C4D07"/>
    <w:rsid w:val="005D0456"/>
    <w:rsid w:val="005D198A"/>
    <w:rsid w:val="005D2190"/>
    <w:rsid w:val="005D5556"/>
    <w:rsid w:val="005E0E82"/>
    <w:rsid w:val="005E54BD"/>
    <w:rsid w:val="005E7A89"/>
    <w:rsid w:val="005F016F"/>
    <w:rsid w:val="005F0778"/>
    <w:rsid w:val="005F1749"/>
    <w:rsid w:val="005F2296"/>
    <w:rsid w:val="005F6D3C"/>
    <w:rsid w:val="00600AA9"/>
    <w:rsid w:val="006021EF"/>
    <w:rsid w:val="0060278F"/>
    <w:rsid w:val="0060503A"/>
    <w:rsid w:val="006069F5"/>
    <w:rsid w:val="00607FB2"/>
    <w:rsid w:val="00607FC8"/>
    <w:rsid w:val="00610C96"/>
    <w:rsid w:val="00615A3C"/>
    <w:rsid w:val="00621B11"/>
    <w:rsid w:val="0062451D"/>
    <w:rsid w:val="006247B0"/>
    <w:rsid w:val="0063360E"/>
    <w:rsid w:val="006340AC"/>
    <w:rsid w:val="00641462"/>
    <w:rsid w:val="0064590B"/>
    <w:rsid w:val="006470B6"/>
    <w:rsid w:val="0065414D"/>
    <w:rsid w:val="006551BB"/>
    <w:rsid w:val="006575B9"/>
    <w:rsid w:val="00657716"/>
    <w:rsid w:val="00660BD2"/>
    <w:rsid w:val="00661D1F"/>
    <w:rsid w:val="00667E5C"/>
    <w:rsid w:val="006703F6"/>
    <w:rsid w:val="00670D36"/>
    <w:rsid w:val="006721D1"/>
    <w:rsid w:val="00680DFC"/>
    <w:rsid w:val="00681890"/>
    <w:rsid w:val="00685A24"/>
    <w:rsid w:val="00685B0A"/>
    <w:rsid w:val="0068776D"/>
    <w:rsid w:val="00690CA4"/>
    <w:rsid w:val="00691589"/>
    <w:rsid w:val="006960BA"/>
    <w:rsid w:val="006A211A"/>
    <w:rsid w:val="006A40D4"/>
    <w:rsid w:val="006A61C1"/>
    <w:rsid w:val="006A68B5"/>
    <w:rsid w:val="006B1E75"/>
    <w:rsid w:val="006B2541"/>
    <w:rsid w:val="006B3194"/>
    <w:rsid w:val="006C17FA"/>
    <w:rsid w:val="006C3244"/>
    <w:rsid w:val="006C451A"/>
    <w:rsid w:val="006D0E4D"/>
    <w:rsid w:val="006D3325"/>
    <w:rsid w:val="006D6E32"/>
    <w:rsid w:val="006E259C"/>
    <w:rsid w:val="006E3487"/>
    <w:rsid w:val="006E43DC"/>
    <w:rsid w:val="006E4FE7"/>
    <w:rsid w:val="006E610A"/>
    <w:rsid w:val="006E675B"/>
    <w:rsid w:val="006E67B5"/>
    <w:rsid w:val="006E7AA0"/>
    <w:rsid w:val="006F5E96"/>
    <w:rsid w:val="006F743B"/>
    <w:rsid w:val="006F7505"/>
    <w:rsid w:val="00703860"/>
    <w:rsid w:val="0070543A"/>
    <w:rsid w:val="00706168"/>
    <w:rsid w:val="00711AE0"/>
    <w:rsid w:val="0071607D"/>
    <w:rsid w:val="00720ED6"/>
    <w:rsid w:val="00721BBA"/>
    <w:rsid w:val="0072399B"/>
    <w:rsid w:val="00723E24"/>
    <w:rsid w:val="007245F3"/>
    <w:rsid w:val="00724A40"/>
    <w:rsid w:val="007320F5"/>
    <w:rsid w:val="007333D0"/>
    <w:rsid w:val="00736627"/>
    <w:rsid w:val="007373C8"/>
    <w:rsid w:val="00745688"/>
    <w:rsid w:val="0075335A"/>
    <w:rsid w:val="00753708"/>
    <w:rsid w:val="00757C62"/>
    <w:rsid w:val="00760014"/>
    <w:rsid w:val="007600D8"/>
    <w:rsid w:val="00766191"/>
    <w:rsid w:val="00767C4F"/>
    <w:rsid w:val="00770945"/>
    <w:rsid w:val="007713A8"/>
    <w:rsid w:val="00772BB0"/>
    <w:rsid w:val="00774C51"/>
    <w:rsid w:val="007867A7"/>
    <w:rsid w:val="00792D23"/>
    <w:rsid w:val="00795F1F"/>
    <w:rsid w:val="007970A3"/>
    <w:rsid w:val="007A0DFD"/>
    <w:rsid w:val="007A543A"/>
    <w:rsid w:val="007A5760"/>
    <w:rsid w:val="007A5B59"/>
    <w:rsid w:val="007B56ED"/>
    <w:rsid w:val="007B601F"/>
    <w:rsid w:val="007C1817"/>
    <w:rsid w:val="007C6801"/>
    <w:rsid w:val="007C6B5B"/>
    <w:rsid w:val="007C790D"/>
    <w:rsid w:val="007D102F"/>
    <w:rsid w:val="007D1B90"/>
    <w:rsid w:val="007D5F69"/>
    <w:rsid w:val="007E04A2"/>
    <w:rsid w:val="007E2CCE"/>
    <w:rsid w:val="007E38F9"/>
    <w:rsid w:val="007E4663"/>
    <w:rsid w:val="007E6CAE"/>
    <w:rsid w:val="007F0BD6"/>
    <w:rsid w:val="007F4834"/>
    <w:rsid w:val="00800163"/>
    <w:rsid w:val="00800730"/>
    <w:rsid w:val="008013FE"/>
    <w:rsid w:val="00802024"/>
    <w:rsid w:val="0080594A"/>
    <w:rsid w:val="00815DC6"/>
    <w:rsid w:val="00816F11"/>
    <w:rsid w:val="00821AA5"/>
    <w:rsid w:val="00821C57"/>
    <w:rsid w:val="00831498"/>
    <w:rsid w:val="008315CA"/>
    <w:rsid w:val="00840732"/>
    <w:rsid w:val="00840DF4"/>
    <w:rsid w:val="00844A89"/>
    <w:rsid w:val="00845C5F"/>
    <w:rsid w:val="00847293"/>
    <w:rsid w:val="0085237A"/>
    <w:rsid w:val="00853E83"/>
    <w:rsid w:val="00856203"/>
    <w:rsid w:val="00865667"/>
    <w:rsid w:val="00873774"/>
    <w:rsid w:val="00875100"/>
    <w:rsid w:val="008851A0"/>
    <w:rsid w:val="008958AA"/>
    <w:rsid w:val="008A4B2D"/>
    <w:rsid w:val="008A66D6"/>
    <w:rsid w:val="008B1F23"/>
    <w:rsid w:val="008B4583"/>
    <w:rsid w:val="008B4DF8"/>
    <w:rsid w:val="008C474F"/>
    <w:rsid w:val="008D6999"/>
    <w:rsid w:val="008E078B"/>
    <w:rsid w:val="008E1600"/>
    <w:rsid w:val="008E4B2C"/>
    <w:rsid w:val="008E6678"/>
    <w:rsid w:val="0090219F"/>
    <w:rsid w:val="00902712"/>
    <w:rsid w:val="0090317D"/>
    <w:rsid w:val="009050EB"/>
    <w:rsid w:val="00905931"/>
    <w:rsid w:val="00907D58"/>
    <w:rsid w:val="009147FC"/>
    <w:rsid w:val="00915CAD"/>
    <w:rsid w:val="00923F8F"/>
    <w:rsid w:val="0092468E"/>
    <w:rsid w:val="009278E3"/>
    <w:rsid w:val="00933B86"/>
    <w:rsid w:val="00933FD1"/>
    <w:rsid w:val="009410DC"/>
    <w:rsid w:val="009423CB"/>
    <w:rsid w:val="00945F41"/>
    <w:rsid w:val="00954AA6"/>
    <w:rsid w:val="0095726C"/>
    <w:rsid w:val="00966BE9"/>
    <w:rsid w:val="00967BEC"/>
    <w:rsid w:val="00971487"/>
    <w:rsid w:val="00977DC6"/>
    <w:rsid w:val="0098247E"/>
    <w:rsid w:val="00982666"/>
    <w:rsid w:val="00986F68"/>
    <w:rsid w:val="009B1DCD"/>
    <w:rsid w:val="009B1DD2"/>
    <w:rsid w:val="009B32B2"/>
    <w:rsid w:val="009B610F"/>
    <w:rsid w:val="009C08B6"/>
    <w:rsid w:val="009C0C9E"/>
    <w:rsid w:val="009C1B9D"/>
    <w:rsid w:val="009C3A30"/>
    <w:rsid w:val="009D020C"/>
    <w:rsid w:val="009D05FF"/>
    <w:rsid w:val="009D3148"/>
    <w:rsid w:val="009D568C"/>
    <w:rsid w:val="009E1DA8"/>
    <w:rsid w:val="009E2531"/>
    <w:rsid w:val="009E3BB0"/>
    <w:rsid w:val="009E3F48"/>
    <w:rsid w:val="009E4B3B"/>
    <w:rsid w:val="009E6C17"/>
    <w:rsid w:val="009F1EE0"/>
    <w:rsid w:val="009F39B1"/>
    <w:rsid w:val="009F3AF0"/>
    <w:rsid w:val="009F4E77"/>
    <w:rsid w:val="009F6173"/>
    <w:rsid w:val="009F627F"/>
    <w:rsid w:val="00A00591"/>
    <w:rsid w:val="00A00861"/>
    <w:rsid w:val="00A00DAE"/>
    <w:rsid w:val="00A00DD6"/>
    <w:rsid w:val="00A0324A"/>
    <w:rsid w:val="00A03663"/>
    <w:rsid w:val="00A045E8"/>
    <w:rsid w:val="00A04E61"/>
    <w:rsid w:val="00A11AD6"/>
    <w:rsid w:val="00A1214B"/>
    <w:rsid w:val="00A21955"/>
    <w:rsid w:val="00A23549"/>
    <w:rsid w:val="00A2508C"/>
    <w:rsid w:val="00A267EE"/>
    <w:rsid w:val="00A27F20"/>
    <w:rsid w:val="00A32344"/>
    <w:rsid w:val="00A3336E"/>
    <w:rsid w:val="00A36CE0"/>
    <w:rsid w:val="00A41049"/>
    <w:rsid w:val="00A41697"/>
    <w:rsid w:val="00A52A30"/>
    <w:rsid w:val="00A57B3B"/>
    <w:rsid w:val="00A65940"/>
    <w:rsid w:val="00A66269"/>
    <w:rsid w:val="00A833D4"/>
    <w:rsid w:val="00A8704C"/>
    <w:rsid w:val="00A9343F"/>
    <w:rsid w:val="00AA0AAC"/>
    <w:rsid w:val="00AA2225"/>
    <w:rsid w:val="00AA5CE2"/>
    <w:rsid w:val="00AB09F7"/>
    <w:rsid w:val="00AB1615"/>
    <w:rsid w:val="00AB1A71"/>
    <w:rsid w:val="00AB3D33"/>
    <w:rsid w:val="00AB7011"/>
    <w:rsid w:val="00AC0D53"/>
    <w:rsid w:val="00AC33B3"/>
    <w:rsid w:val="00AD19AF"/>
    <w:rsid w:val="00AD3905"/>
    <w:rsid w:val="00AD6D03"/>
    <w:rsid w:val="00AE1972"/>
    <w:rsid w:val="00AE64C6"/>
    <w:rsid w:val="00AF4063"/>
    <w:rsid w:val="00AF62C4"/>
    <w:rsid w:val="00AF7398"/>
    <w:rsid w:val="00AF7DF5"/>
    <w:rsid w:val="00B01ED9"/>
    <w:rsid w:val="00B1007E"/>
    <w:rsid w:val="00B11074"/>
    <w:rsid w:val="00B17186"/>
    <w:rsid w:val="00B23DEE"/>
    <w:rsid w:val="00B40614"/>
    <w:rsid w:val="00B40F8E"/>
    <w:rsid w:val="00B42F74"/>
    <w:rsid w:val="00B46256"/>
    <w:rsid w:val="00B50F9E"/>
    <w:rsid w:val="00B524EA"/>
    <w:rsid w:val="00B5517D"/>
    <w:rsid w:val="00B5608C"/>
    <w:rsid w:val="00B5792F"/>
    <w:rsid w:val="00B600A9"/>
    <w:rsid w:val="00B600B7"/>
    <w:rsid w:val="00B612F4"/>
    <w:rsid w:val="00B665B5"/>
    <w:rsid w:val="00B70345"/>
    <w:rsid w:val="00B715C0"/>
    <w:rsid w:val="00B715FF"/>
    <w:rsid w:val="00B71970"/>
    <w:rsid w:val="00B7266E"/>
    <w:rsid w:val="00B72C4C"/>
    <w:rsid w:val="00B7669F"/>
    <w:rsid w:val="00B80872"/>
    <w:rsid w:val="00B82473"/>
    <w:rsid w:val="00B824EC"/>
    <w:rsid w:val="00B850DB"/>
    <w:rsid w:val="00B90C44"/>
    <w:rsid w:val="00B9495F"/>
    <w:rsid w:val="00B94E1C"/>
    <w:rsid w:val="00BA012F"/>
    <w:rsid w:val="00BA378A"/>
    <w:rsid w:val="00BA7BFF"/>
    <w:rsid w:val="00BB11A2"/>
    <w:rsid w:val="00BB1CDA"/>
    <w:rsid w:val="00BC250F"/>
    <w:rsid w:val="00BC3D2E"/>
    <w:rsid w:val="00BC5CEB"/>
    <w:rsid w:val="00BD20CE"/>
    <w:rsid w:val="00BD4205"/>
    <w:rsid w:val="00BD5068"/>
    <w:rsid w:val="00BE033C"/>
    <w:rsid w:val="00BE13A3"/>
    <w:rsid w:val="00BE3E16"/>
    <w:rsid w:val="00BE488D"/>
    <w:rsid w:val="00BE5226"/>
    <w:rsid w:val="00BF1279"/>
    <w:rsid w:val="00BF411E"/>
    <w:rsid w:val="00BF4B58"/>
    <w:rsid w:val="00C01ABB"/>
    <w:rsid w:val="00C17E88"/>
    <w:rsid w:val="00C20E55"/>
    <w:rsid w:val="00C25171"/>
    <w:rsid w:val="00C26ACE"/>
    <w:rsid w:val="00C26F63"/>
    <w:rsid w:val="00C34A67"/>
    <w:rsid w:val="00C36265"/>
    <w:rsid w:val="00C36EA3"/>
    <w:rsid w:val="00C406DF"/>
    <w:rsid w:val="00C430DC"/>
    <w:rsid w:val="00C46A6C"/>
    <w:rsid w:val="00C46BC6"/>
    <w:rsid w:val="00C50E52"/>
    <w:rsid w:val="00C61309"/>
    <w:rsid w:val="00C62F1D"/>
    <w:rsid w:val="00C64985"/>
    <w:rsid w:val="00C776B6"/>
    <w:rsid w:val="00C8138B"/>
    <w:rsid w:val="00C82E31"/>
    <w:rsid w:val="00C8382B"/>
    <w:rsid w:val="00C85215"/>
    <w:rsid w:val="00C8549B"/>
    <w:rsid w:val="00C876A2"/>
    <w:rsid w:val="00C87DA1"/>
    <w:rsid w:val="00C90B88"/>
    <w:rsid w:val="00C92027"/>
    <w:rsid w:val="00C9677D"/>
    <w:rsid w:val="00CA4465"/>
    <w:rsid w:val="00CB2E56"/>
    <w:rsid w:val="00CB4992"/>
    <w:rsid w:val="00CB6CB1"/>
    <w:rsid w:val="00CC32A8"/>
    <w:rsid w:val="00CC3900"/>
    <w:rsid w:val="00CD0FC2"/>
    <w:rsid w:val="00CD3D56"/>
    <w:rsid w:val="00CD6EAA"/>
    <w:rsid w:val="00CE11CD"/>
    <w:rsid w:val="00CE1CFB"/>
    <w:rsid w:val="00CE1E90"/>
    <w:rsid w:val="00CE2FA2"/>
    <w:rsid w:val="00CE6319"/>
    <w:rsid w:val="00CF0124"/>
    <w:rsid w:val="00CF1C5B"/>
    <w:rsid w:val="00CF2068"/>
    <w:rsid w:val="00CF207A"/>
    <w:rsid w:val="00CF2D3F"/>
    <w:rsid w:val="00D00383"/>
    <w:rsid w:val="00D00676"/>
    <w:rsid w:val="00D02BF7"/>
    <w:rsid w:val="00D0379E"/>
    <w:rsid w:val="00D0410E"/>
    <w:rsid w:val="00D05368"/>
    <w:rsid w:val="00D0748F"/>
    <w:rsid w:val="00D1159C"/>
    <w:rsid w:val="00D1501E"/>
    <w:rsid w:val="00D15DFF"/>
    <w:rsid w:val="00D16CD3"/>
    <w:rsid w:val="00D220D2"/>
    <w:rsid w:val="00D2337C"/>
    <w:rsid w:val="00D274C4"/>
    <w:rsid w:val="00D3122E"/>
    <w:rsid w:val="00D3291F"/>
    <w:rsid w:val="00D3610E"/>
    <w:rsid w:val="00D3691E"/>
    <w:rsid w:val="00D36A9D"/>
    <w:rsid w:val="00D370F7"/>
    <w:rsid w:val="00D403F6"/>
    <w:rsid w:val="00D40E82"/>
    <w:rsid w:val="00D44E7E"/>
    <w:rsid w:val="00D54E7D"/>
    <w:rsid w:val="00D551FB"/>
    <w:rsid w:val="00D56C86"/>
    <w:rsid w:val="00D60FCE"/>
    <w:rsid w:val="00D66DB8"/>
    <w:rsid w:val="00D6758A"/>
    <w:rsid w:val="00D76DBE"/>
    <w:rsid w:val="00D803B9"/>
    <w:rsid w:val="00D82B0E"/>
    <w:rsid w:val="00D84CED"/>
    <w:rsid w:val="00D9562A"/>
    <w:rsid w:val="00D9676C"/>
    <w:rsid w:val="00DC36EF"/>
    <w:rsid w:val="00DC4912"/>
    <w:rsid w:val="00DC669E"/>
    <w:rsid w:val="00DD10A8"/>
    <w:rsid w:val="00DD24C6"/>
    <w:rsid w:val="00DD425B"/>
    <w:rsid w:val="00DD61A0"/>
    <w:rsid w:val="00DE00BE"/>
    <w:rsid w:val="00DE3EB6"/>
    <w:rsid w:val="00DE464F"/>
    <w:rsid w:val="00DE5F4E"/>
    <w:rsid w:val="00DF1A63"/>
    <w:rsid w:val="00DF354A"/>
    <w:rsid w:val="00DF6E41"/>
    <w:rsid w:val="00E00230"/>
    <w:rsid w:val="00E0264C"/>
    <w:rsid w:val="00E03F81"/>
    <w:rsid w:val="00E06B3C"/>
    <w:rsid w:val="00E11C92"/>
    <w:rsid w:val="00E12999"/>
    <w:rsid w:val="00E16265"/>
    <w:rsid w:val="00E238F8"/>
    <w:rsid w:val="00E310D3"/>
    <w:rsid w:val="00E311C7"/>
    <w:rsid w:val="00E318D8"/>
    <w:rsid w:val="00E32DC4"/>
    <w:rsid w:val="00E33EDA"/>
    <w:rsid w:val="00E33F99"/>
    <w:rsid w:val="00E35CBC"/>
    <w:rsid w:val="00E4708B"/>
    <w:rsid w:val="00E519D5"/>
    <w:rsid w:val="00E5466F"/>
    <w:rsid w:val="00E549E3"/>
    <w:rsid w:val="00E6124D"/>
    <w:rsid w:val="00E62260"/>
    <w:rsid w:val="00E7364C"/>
    <w:rsid w:val="00E80D21"/>
    <w:rsid w:val="00E861B0"/>
    <w:rsid w:val="00E91790"/>
    <w:rsid w:val="00E94C60"/>
    <w:rsid w:val="00E95DC0"/>
    <w:rsid w:val="00EA3FCD"/>
    <w:rsid w:val="00EA595F"/>
    <w:rsid w:val="00EB4FFE"/>
    <w:rsid w:val="00EC0F61"/>
    <w:rsid w:val="00EC47F7"/>
    <w:rsid w:val="00ED1342"/>
    <w:rsid w:val="00EE32AF"/>
    <w:rsid w:val="00EE43AC"/>
    <w:rsid w:val="00EE6572"/>
    <w:rsid w:val="00EF2AD7"/>
    <w:rsid w:val="00EF3344"/>
    <w:rsid w:val="00EF359E"/>
    <w:rsid w:val="00EF5F2B"/>
    <w:rsid w:val="00EF6553"/>
    <w:rsid w:val="00EF6B02"/>
    <w:rsid w:val="00F002D9"/>
    <w:rsid w:val="00F22222"/>
    <w:rsid w:val="00F23A59"/>
    <w:rsid w:val="00F25148"/>
    <w:rsid w:val="00F319A9"/>
    <w:rsid w:val="00F33417"/>
    <w:rsid w:val="00F4121C"/>
    <w:rsid w:val="00F51129"/>
    <w:rsid w:val="00F51978"/>
    <w:rsid w:val="00F646B7"/>
    <w:rsid w:val="00F6647B"/>
    <w:rsid w:val="00F66E90"/>
    <w:rsid w:val="00F80AAF"/>
    <w:rsid w:val="00F80F7E"/>
    <w:rsid w:val="00F81BD9"/>
    <w:rsid w:val="00F82F2F"/>
    <w:rsid w:val="00F84E82"/>
    <w:rsid w:val="00F86830"/>
    <w:rsid w:val="00FA3FE6"/>
    <w:rsid w:val="00FB44B2"/>
    <w:rsid w:val="00FC1BE9"/>
    <w:rsid w:val="00FC5786"/>
    <w:rsid w:val="00FC57E8"/>
    <w:rsid w:val="00FC5F93"/>
    <w:rsid w:val="00FD367E"/>
    <w:rsid w:val="00FE4C7B"/>
    <w:rsid w:val="00FE7499"/>
    <w:rsid w:val="00FF2AD3"/>
    <w:rsid w:val="00FF59E2"/>
    <w:rsid w:val="00FF6359"/>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666"/>
    <w:pPr>
      <w:tabs>
        <w:tab w:val="center" w:pos="4680"/>
        <w:tab w:val="right" w:pos="9360"/>
      </w:tabs>
      <w:spacing w:line="240" w:lineRule="auto"/>
    </w:pPr>
  </w:style>
  <w:style w:type="character" w:customStyle="1" w:styleId="HeaderChar">
    <w:name w:val="Header Char"/>
    <w:basedOn w:val="DefaultParagraphFont"/>
    <w:link w:val="Header"/>
    <w:uiPriority w:val="99"/>
    <w:rsid w:val="00982666"/>
  </w:style>
  <w:style w:type="paragraph" w:styleId="Footer">
    <w:name w:val="footer"/>
    <w:basedOn w:val="Normal"/>
    <w:link w:val="FooterChar"/>
    <w:uiPriority w:val="99"/>
    <w:unhideWhenUsed/>
    <w:rsid w:val="00982666"/>
    <w:pPr>
      <w:tabs>
        <w:tab w:val="center" w:pos="4680"/>
        <w:tab w:val="right" w:pos="9360"/>
      </w:tabs>
      <w:spacing w:line="240" w:lineRule="auto"/>
    </w:pPr>
  </w:style>
  <w:style w:type="character" w:customStyle="1" w:styleId="FooterChar">
    <w:name w:val="Footer Char"/>
    <w:basedOn w:val="DefaultParagraphFont"/>
    <w:link w:val="Footer"/>
    <w:uiPriority w:val="99"/>
    <w:rsid w:val="00982666"/>
  </w:style>
  <w:style w:type="table" w:styleId="TableGrid">
    <w:name w:val="Table Grid"/>
    <w:basedOn w:val="TableNormal"/>
    <w:uiPriority w:val="99"/>
    <w:rsid w:val="00982666"/>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82666"/>
    <w:rPr>
      <w:rFonts w:cs="Times New Roman"/>
    </w:rPr>
  </w:style>
  <w:style w:type="paragraph" w:customStyle="1" w:styleId="Default">
    <w:name w:val="Default"/>
    <w:rsid w:val="0080594A"/>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94A"/>
    <w:pPr>
      <w:ind w:left="720"/>
      <w:contextualSpacing/>
    </w:pPr>
  </w:style>
  <w:style w:type="paragraph" w:styleId="BalloonText">
    <w:name w:val="Balloon Text"/>
    <w:basedOn w:val="Normal"/>
    <w:link w:val="BalloonTextChar"/>
    <w:uiPriority w:val="99"/>
    <w:semiHidden/>
    <w:unhideWhenUsed/>
    <w:rsid w:val="006D6E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32"/>
    <w:rPr>
      <w:rFonts w:ascii="Tahoma" w:hAnsi="Tahoma" w:cs="Tahoma"/>
      <w:sz w:val="16"/>
      <w:szCs w:val="16"/>
    </w:rPr>
  </w:style>
  <w:style w:type="character" w:styleId="Hyperlink">
    <w:name w:val="Hyperlink"/>
    <w:basedOn w:val="DefaultParagraphFont"/>
    <w:uiPriority w:val="99"/>
    <w:unhideWhenUsed/>
    <w:rsid w:val="00685A24"/>
    <w:rPr>
      <w:color w:val="0000FF"/>
      <w:u w:val="single"/>
    </w:rPr>
  </w:style>
  <w:style w:type="character" w:styleId="FollowedHyperlink">
    <w:name w:val="FollowedHyperlink"/>
    <w:basedOn w:val="DefaultParagraphFont"/>
    <w:uiPriority w:val="99"/>
    <w:semiHidden/>
    <w:unhideWhenUsed/>
    <w:rsid w:val="00A1214B"/>
    <w:rPr>
      <w:color w:val="800080" w:themeColor="followedHyperlink"/>
      <w:u w:val="single"/>
    </w:rPr>
  </w:style>
  <w:style w:type="character" w:styleId="CommentReference">
    <w:name w:val="annotation reference"/>
    <w:basedOn w:val="DefaultParagraphFont"/>
    <w:uiPriority w:val="99"/>
    <w:semiHidden/>
    <w:unhideWhenUsed/>
    <w:rsid w:val="00BF1279"/>
    <w:rPr>
      <w:sz w:val="16"/>
      <w:szCs w:val="16"/>
    </w:rPr>
  </w:style>
  <w:style w:type="paragraph" w:styleId="CommentText">
    <w:name w:val="annotation text"/>
    <w:basedOn w:val="Normal"/>
    <w:link w:val="CommentTextChar"/>
    <w:uiPriority w:val="99"/>
    <w:semiHidden/>
    <w:unhideWhenUsed/>
    <w:rsid w:val="00BF1279"/>
    <w:pPr>
      <w:spacing w:line="240" w:lineRule="auto"/>
    </w:pPr>
    <w:rPr>
      <w:sz w:val="20"/>
      <w:szCs w:val="20"/>
    </w:rPr>
  </w:style>
  <w:style w:type="character" w:customStyle="1" w:styleId="CommentTextChar">
    <w:name w:val="Comment Text Char"/>
    <w:basedOn w:val="DefaultParagraphFont"/>
    <w:link w:val="CommentText"/>
    <w:uiPriority w:val="99"/>
    <w:semiHidden/>
    <w:rsid w:val="00BF1279"/>
    <w:rPr>
      <w:sz w:val="20"/>
      <w:szCs w:val="20"/>
    </w:rPr>
  </w:style>
  <w:style w:type="paragraph" w:styleId="CommentSubject">
    <w:name w:val="annotation subject"/>
    <w:basedOn w:val="CommentText"/>
    <w:next w:val="CommentText"/>
    <w:link w:val="CommentSubjectChar"/>
    <w:uiPriority w:val="99"/>
    <w:semiHidden/>
    <w:unhideWhenUsed/>
    <w:rsid w:val="00BF1279"/>
    <w:rPr>
      <w:b/>
      <w:bCs/>
    </w:rPr>
  </w:style>
  <w:style w:type="character" w:customStyle="1" w:styleId="CommentSubjectChar">
    <w:name w:val="Comment Subject Char"/>
    <w:basedOn w:val="CommentTextChar"/>
    <w:link w:val="CommentSubject"/>
    <w:uiPriority w:val="99"/>
    <w:semiHidden/>
    <w:rsid w:val="00BF1279"/>
    <w:rPr>
      <w:b/>
      <w:bCs/>
      <w:sz w:val="20"/>
      <w:szCs w:val="20"/>
    </w:rPr>
  </w:style>
  <w:style w:type="paragraph" w:styleId="FootnoteText">
    <w:name w:val="footnote text"/>
    <w:basedOn w:val="Normal"/>
    <w:link w:val="FootnoteTextChar"/>
    <w:uiPriority w:val="99"/>
    <w:semiHidden/>
    <w:unhideWhenUsed/>
    <w:rsid w:val="00CB4992"/>
    <w:pPr>
      <w:spacing w:line="240" w:lineRule="auto"/>
    </w:pPr>
    <w:rPr>
      <w:sz w:val="20"/>
      <w:szCs w:val="20"/>
    </w:rPr>
  </w:style>
  <w:style w:type="character" w:customStyle="1" w:styleId="FootnoteTextChar">
    <w:name w:val="Footnote Text Char"/>
    <w:basedOn w:val="DefaultParagraphFont"/>
    <w:link w:val="FootnoteText"/>
    <w:uiPriority w:val="99"/>
    <w:semiHidden/>
    <w:rsid w:val="00CB4992"/>
    <w:rPr>
      <w:sz w:val="20"/>
      <w:szCs w:val="20"/>
    </w:rPr>
  </w:style>
  <w:style w:type="character" w:styleId="FootnoteReference">
    <w:name w:val="footnote reference"/>
    <w:basedOn w:val="DefaultParagraphFont"/>
    <w:uiPriority w:val="99"/>
    <w:semiHidden/>
    <w:unhideWhenUsed/>
    <w:rsid w:val="00CB49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666"/>
    <w:pPr>
      <w:tabs>
        <w:tab w:val="center" w:pos="4680"/>
        <w:tab w:val="right" w:pos="9360"/>
      </w:tabs>
      <w:spacing w:line="240" w:lineRule="auto"/>
    </w:pPr>
  </w:style>
  <w:style w:type="character" w:customStyle="1" w:styleId="HeaderChar">
    <w:name w:val="Header Char"/>
    <w:basedOn w:val="DefaultParagraphFont"/>
    <w:link w:val="Header"/>
    <w:uiPriority w:val="99"/>
    <w:rsid w:val="00982666"/>
  </w:style>
  <w:style w:type="paragraph" w:styleId="Footer">
    <w:name w:val="footer"/>
    <w:basedOn w:val="Normal"/>
    <w:link w:val="FooterChar"/>
    <w:uiPriority w:val="99"/>
    <w:unhideWhenUsed/>
    <w:rsid w:val="00982666"/>
    <w:pPr>
      <w:tabs>
        <w:tab w:val="center" w:pos="4680"/>
        <w:tab w:val="right" w:pos="9360"/>
      </w:tabs>
      <w:spacing w:line="240" w:lineRule="auto"/>
    </w:pPr>
  </w:style>
  <w:style w:type="character" w:customStyle="1" w:styleId="FooterChar">
    <w:name w:val="Footer Char"/>
    <w:basedOn w:val="DefaultParagraphFont"/>
    <w:link w:val="Footer"/>
    <w:uiPriority w:val="99"/>
    <w:rsid w:val="00982666"/>
  </w:style>
  <w:style w:type="table" w:styleId="TableGrid">
    <w:name w:val="Table Grid"/>
    <w:basedOn w:val="TableNormal"/>
    <w:uiPriority w:val="99"/>
    <w:rsid w:val="00982666"/>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82666"/>
    <w:rPr>
      <w:rFonts w:cs="Times New Roman"/>
    </w:rPr>
  </w:style>
  <w:style w:type="paragraph" w:customStyle="1" w:styleId="Default">
    <w:name w:val="Default"/>
    <w:rsid w:val="0080594A"/>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94A"/>
    <w:pPr>
      <w:ind w:left="720"/>
      <w:contextualSpacing/>
    </w:pPr>
  </w:style>
  <w:style w:type="paragraph" w:styleId="BalloonText">
    <w:name w:val="Balloon Text"/>
    <w:basedOn w:val="Normal"/>
    <w:link w:val="BalloonTextChar"/>
    <w:uiPriority w:val="99"/>
    <w:semiHidden/>
    <w:unhideWhenUsed/>
    <w:rsid w:val="006D6E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32"/>
    <w:rPr>
      <w:rFonts w:ascii="Tahoma" w:hAnsi="Tahoma" w:cs="Tahoma"/>
      <w:sz w:val="16"/>
      <w:szCs w:val="16"/>
    </w:rPr>
  </w:style>
  <w:style w:type="character" w:styleId="Hyperlink">
    <w:name w:val="Hyperlink"/>
    <w:basedOn w:val="DefaultParagraphFont"/>
    <w:uiPriority w:val="99"/>
    <w:unhideWhenUsed/>
    <w:rsid w:val="00685A24"/>
    <w:rPr>
      <w:color w:val="0000FF"/>
      <w:u w:val="single"/>
    </w:rPr>
  </w:style>
  <w:style w:type="character" w:styleId="FollowedHyperlink">
    <w:name w:val="FollowedHyperlink"/>
    <w:basedOn w:val="DefaultParagraphFont"/>
    <w:uiPriority w:val="99"/>
    <w:semiHidden/>
    <w:unhideWhenUsed/>
    <w:rsid w:val="00A1214B"/>
    <w:rPr>
      <w:color w:val="800080" w:themeColor="followedHyperlink"/>
      <w:u w:val="single"/>
    </w:rPr>
  </w:style>
  <w:style w:type="character" w:styleId="CommentReference">
    <w:name w:val="annotation reference"/>
    <w:basedOn w:val="DefaultParagraphFont"/>
    <w:uiPriority w:val="99"/>
    <w:semiHidden/>
    <w:unhideWhenUsed/>
    <w:rsid w:val="00BF1279"/>
    <w:rPr>
      <w:sz w:val="16"/>
      <w:szCs w:val="16"/>
    </w:rPr>
  </w:style>
  <w:style w:type="paragraph" w:styleId="CommentText">
    <w:name w:val="annotation text"/>
    <w:basedOn w:val="Normal"/>
    <w:link w:val="CommentTextChar"/>
    <w:uiPriority w:val="99"/>
    <w:semiHidden/>
    <w:unhideWhenUsed/>
    <w:rsid w:val="00BF1279"/>
    <w:pPr>
      <w:spacing w:line="240" w:lineRule="auto"/>
    </w:pPr>
    <w:rPr>
      <w:sz w:val="20"/>
      <w:szCs w:val="20"/>
    </w:rPr>
  </w:style>
  <w:style w:type="character" w:customStyle="1" w:styleId="CommentTextChar">
    <w:name w:val="Comment Text Char"/>
    <w:basedOn w:val="DefaultParagraphFont"/>
    <w:link w:val="CommentText"/>
    <w:uiPriority w:val="99"/>
    <w:semiHidden/>
    <w:rsid w:val="00BF1279"/>
    <w:rPr>
      <w:sz w:val="20"/>
      <w:szCs w:val="20"/>
    </w:rPr>
  </w:style>
  <w:style w:type="paragraph" w:styleId="CommentSubject">
    <w:name w:val="annotation subject"/>
    <w:basedOn w:val="CommentText"/>
    <w:next w:val="CommentText"/>
    <w:link w:val="CommentSubjectChar"/>
    <w:uiPriority w:val="99"/>
    <w:semiHidden/>
    <w:unhideWhenUsed/>
    <w:rsid w:val="00BF1279"/>
    <w:rPr>
      <w:b/>
      <w:bCs/>
    </w:rPr>
  </w:style>
  <w:style w:type="character" w:customStyle="1" w:styleId="CommentSubjectChar">
    <w:name w:val="Comment Subject Char"/>
    <w:basedOn w:val="CommentTextChar"/>
    <w:link w:val="CommentSubject"/>
    <w:uiPriority w:val="99"/>
    <w:semiHidden/>
    <w:rsid w:val="00BF1279"/>
    <w:rPr>
      <w:b/>
      <w:bCs/>
      <w:sz w:val="20"/>
      <w:szCs w:val="20"/>
    </w:rPr>
  </w:style>
  <w:style w:type="paragraph" w:styleId="FootnoteText">
    <w:name w:val="footnote text"/>
    <w:basedOn w:val="Normal"/>
    <w:link w:val="FootnoteTextChar"/>
    <w:uiPriority w:val="99"/>
    <w:semiHidden/>
    <w:unhideWhenUsed/>
    <w:rsid w:val="00CB4992"/>
    <w:pPr>
      <w:spacing w:line="240" w:lineRule="auto"/>
    </w:pPr>
    <w:rPr>
      <w:sz w:val="20"/>
      <w:szCs w:val="20"/>
    </w:rPr>
  </w:style>
  <w:style w:type="character" w:customStyle="1" w:styleId="FootnoteTextChar">
    <w:name w:val="Footnote Text Char"/>
    <w:basedOn w:val="DefaultParagraphFont"/>
    <w:link w:val="FootnoteText"/>
    <w:uiPriority w:val="99"/>
    <w:semiHidden/>
    <w:rsid w:val="00CB4992"/>
    <w:rPr>
      <w:sz w:val="20"/>
      <w:szCs w:val="20"/>
    </w:rPr>
  </w:style>
  <w:style w:type="character" w:styleId="FootnoteReference">
    <w:name w:val="footnote reference"/>
    <w:basedOn w:val="DefaultParagraphFont"/>
    <w:uiPriority w:val="99"/>
    <w:semiHidden/>
    <w:unhideWhenUsed/>
    <w:rsid w:val="00CB4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5210">
      <w:bodyDiv w:val="1"/>
      <w:marLeft w:val="0"/>
      <w:marRight w:val="0"/>
      <w:marTop w:val="0"/>
      <w:marBottom w:val="0"/>
      <w:divBdr>
        <w:top w:val="none" w:sz="0" w:space="0" w:color="auto"/>
        <w:left w:val="none" w:sz="0" w:space="0" w:color="auto"/>
        <w:bottom w:val="none" w:sz="0" w:space="0" w:color="auto"/>
        <w:right w:val="none" w:sz="0" w:space="0" w:color="auto"/>
      </w:divBdr>
      <w:divsChild>
        <w:div w:id="2048097365">
          <w:marLeft w:val="0"/>
          <w:marRight w:val="0"/>
          <w:marTop w:val="0"/>
          <w:marBottom w:val="0"/>
          <w:divBdr>
            <w:top w:val="none" w:sz="0" w:space="0" w:color="auto"/>
            <w:left w:val="none" w:sz="0" w:space="0" w:color="auto"/>
            <w:bottom w:val="none" w:sz="0" w:space="0" w:color="auto"/>
            <w:right w:val="none" w:sz="0" w:space="0" w:color="auto"/>
          </w:divBdr>
          <w:divsChild>
            <w:div w:id="599721984">
              <w:marLeft w:val="0"/>
              <w:marRight w:val="0"/>
              <w:marTop w:val="0"/>
              <w:marBottom w:val="0"/>
              <w:divBdr>
                <w:top w:val="none" w:sz="0" w:space="0" w:color="auto"/>
                <w:left w:val="none" w:sz="0" w:space="0" w:color="auto"/>
                <w:bottom w:val="none" w:sz="0" w:space="0" w:color="auto"/>
                <w:right w:val="none" w:sz="0" w:space="0" w:color="auto"/>
              </w:divBdr>
              <w:divsChild>
                <w:div w:id="830675187">
                  <w:marLeft w:val="0"/>
                  <w:marRight w:val="0"/>
                  <w:marTop w:val="240"/>
                  <w:marBottom w:val="240"/>
                  <w:divBdr>
                    <w:top w:val="none" w:sz="0" w:space="0" w:color="auto"/>
                    <w:left w:val="none" w:sz="0" w:space="0" w:color="auto"/>
                    <w:bottom w:val="none" w:sz="0" w:space="0" w:color="auto"/>
                    <w:right w:val="none" w:sz="0" w:space="0" w:color="auto"/>
                  </w:divBdr>
                  <w:divsChild>
                    <w:div w:id="1655404660">
                      <w:marLeft w:val="0"/>
                      <w:marRight w:val="0"/>
                      <w:marTop w:val="480"/>
                      <w:marBottom w:val="0"/>
                      <w:divBdr>
                        <w:top w:val="none" w:sz="0" w:space="0" w:color="auto"/>
                        <w:left w:val="none" w:sz="0" w:space="0" w:color="auto"/>
                        <w:bottom w:val="none" w:sz="0" w:space="0" w:color="auto"/>
                        <w:right w:val="none" w:sz="0" w:space="0" w:color="auto"/>
                      </w:divBdr>
                      <w:divsChild>
                        <w:div w:id="122205508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69417">
      <w:bodyDiv w:val="1"/>
      <w:marLeft w:val="0"/>
      <w:marRight w:val="0"/>
      <w:marTop w:val="0"/>
      <w:marBottom w:val="0"/>
      <w:divBdr>
        <w:top w:val="none" w:sz="0" w:space="0" w:color="auto"/>
        <w:left w:val="none" w:sz="0" w:space="0" w:color="auto"/>
        <w:bottom w:val="none" w:sz="0" w:space="0" w:color="auto"/>
        <w:right w:val="none" w:sz="0" w:space="0" w:color="auto"/>
      </w:divBdr>
    </w:div>
    <w:div w:id="348289438">
      <w:bodyDiv w:val="1"/>
      <w:marLeft w:val="0"/>
      <w:marRight w:val="0"/>
      <w:marTop w:val="0"/>
      <w:marBottom w:val="0"/>
      <w:divBdr>
        <w:top w:val="none" w:sz="0" w:space="0" w:color="auto"/>
        <w:left w:val="none" w:sz="0" w:space="0" w:color="auto"/>
        <w:bottom w:val="none" w:sz="0" w:space="0" w:color="auto"/>
        <w:right w:val="none" w:sz="0" w:space="0" w:color="auto"/>
      </w:divBdr>
    </w:div>
    <w:div w:id="21246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ter.epa.gov/lawsregs/lawsguidance/cwa/tmdl/glossary.cfm" TargetMode="External"/><Relationship Id="rId18" Type="http://schemas.openxmlformats.org/officeDocument/2006/relationships/hyperlink" Target="http://www.pca.state.mn.us/index.php/view-document.html?gid=860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ca.state.mn.us/index.php/view-document.html?gid=8524" TargetMode="External"/><Relationship Id="rId7" Type="http://schemas.openxmlformats.org/officeDocument/2006/relationships/footnotes" Target="footnotes.xml"/><Relationship Id="rId12" Type="http://schemas.openxmlformats.org/officeDocument/2006/relationships/hyperlink" Target="http://water.epa.gov/scitech/datait/models/upload/1999_11_05_models_SASD0109.pdf" TargetMode="External"/><Relationship Id="rId17" Type="http://schemas.openxmlformats.org/officeDocument/2006/relationships/hyperlink" Target="http://water.epa.gov/scitech/swguidance/standards/criteria/aqlife/upload/2009_01_13_criteria_goldbook.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ater.epa.gov/lawsregs/lawsguidance/cwa/tmdl/upload/2000_01_10_tmdl_nutrient_nutrient.pdf" TargetMode="External"/><Relationship Id="rId20" Type="http://schemas.openxmlformats.org/officeDocument/2006/relationships/hyperlink" Target="http://www.pca.state.mn.us/index.php/view-document.html?gid=85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ter.epa.gov/scitech/swguidance/standards/criteria/aqlife/upload/2009_01_13_criteria_goldbook.pdf" TargetMode="External"/><Relationship Id="rId24" Type="http://schemas.openxmlformats.org/officeDocument/2006/relationships/hyperlink" Target="http://www.pca.state.mn.us/" TargetMode="External"/><Relationship Id="rId5" Type="http://schemas.openxmlformats.org/officeDocument/2006/relationships/settings" Target="settings.xml"/><Relationship Id="rId15" Type="http://schemas.openxmlformats.org/officeDocument/2006/relationships/hyperlink" Target="http://water.epa.gov/scitech/datait/models/upload/2006_12_05_standards_tmdl_guidance.pdf" TargetMode="External"/><Relationship Id="rId23" Type="http://schemas.openxmlformats.org/officeDocument/2006/relationships/hyperlink" Target="http://water.epa.gov/scitech/datait/models/upload/2006_12_05_standards_tmdl_guidance.pdf" TargetMode="External"/><Relationship Id="rId28" Type="http://schemas.openxmlformats.org/officeDocument/2006/relationships/theme" Target="theme/theme1.xml"/><Relationship Id="rId10" Type="http://schemas.openxmlformats.org/officeDocument/2006/relationships/hyperlink" Target="http://water.epa.gov/lawsregs/lawsguidance/cwa/tmdl/upload/2000_01_10_tmdl_nutrient_nutrient.pdf" TargetMode="External"/><Relationship Id="rId19" Type="http://schemas.openxmlformats.org/officeDocument/2006/relationships/hyperlink" Target="http://www.pca.state.mn.us/index.php/view-document.html?gid=16325" TargetMode="External"/><Relationship Id="rId4" Type="http://schemas.microsoft.com/office/2007/relationships/stylesWithEffects" Target="stylesWithEffects.xml"/><Relationship Id="rId9" Type="http://schemas.openxmlformats.org/officeDocument/2006/relationships/hyperlink" Target="http://water.epa.gov/scitech/datait/models/upload/2006_12_05_standards_tmdl_guidance.pdf" TargetMode="External"/><Relationship Id="rId14" Type="http://schemas.openxmlformats.org/officeDocument/2006/relationships/hyperlink" Target="http://water.epa.gov/type/watersheds/monitoring/calm.cfm" TargetMode="External"/><Relationship Id="rId22" Type="http://schemas.openxmlformats.org/officeDocument/2006/relationships/hyperlink" Target="http://water.epa.gov/lawsregs/lawsguidance/cwa/tmdl/upload/2000_01_10_tmdl_nutrient_nutrien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072C-DFAF-478F-A4A4-E343CCE9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19</Pages>
  <Words>7840</Words>
  <Characters>44692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52428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mleach</dc:creator>
  <cp:lastModifiedBy>Coleman, Jean</cp:lastModifiedBy>
  <cp:revision>43</cp:revision>
  <cp:lastPrinted>2013-06-24T17:31:00Z</cp:lastPrinted>
  <dcterms:created xsi:type="dcterms:W3CDTF">2015-11-30T18:42:00Z</dcterms:created>
  <dcterms:modified xsi:type="dcterms:W3CDTF">2015-12-02T16:04:00Z</dcterms:modified>
</cp:coreProperties>
</file>